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customXml/itemProps2.xml" ContentType="application/vnd.openxmlformats-officedocument.customXml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1B1A75" w14:textId="77777777" w:rsidR="008958F7" w:rsidRPr="004B1D11" w:rsidRDefault="005F0953">
      <w:pPr>
        <w:pBdr>
          <w:top w:val="nil"/>
          <w:left w:val="nil"/>
          <w:bottom w:val="nil"/>
          <w:right w:val="nil"/>
          <w:between w:val="nil"/>
        </w:pBdr>
        <w:shd w:val="clear" w:color="auto" w:fill="FFFFFF"/>
        <w:spacing w:after="225" w:line="240" w:lineRule="auto"/>
        <w:jc w:val="both"/>
        <w:rPr>
          <w:rFonts w:ascii="Source Sans Pro" w:eastAsia="Source Sans Pro" w:hAnsi="Source Sans Pro" w:cs="Source Sans Pro"/>
          <w:b/>
          <w:sz w:val="28"/>
          <w:szCs w:val="28"/>
        </w:rPr>
      </w:pPr>
      <w:r w:rsidRPr="004B1D11">
        <w:rPr>
          <w:rFonts w:ascii="Source Sans Pro" w:eastAsia="Source Sans Pro" w:hAnsi="Source Sans Pro" w:cs="Source Sans Pro"/>
          <w:b/>
          <w:sz w:val="28"/>
          <w:szCs w:val="28"/>
        </w:rPr>
        <w:t xml:space="preserve">Informe: </w:t>
      </w:r>
    </w:p>
    <w:p w14:paraId="61D2CEB9" w14:textId="77777777" w:rsidR="008958F7" w:rsidRPr="004B1D11" w:rsidRDefault="005F0953">
      <w:pPr>
        <w:pBdr>
          <w:top w:val="nil"/>
          <w:left w:val="nil"/>
          <w:bottom w:val="nil"/>
          <w:right w:val="nil"/>
          <w:between w:val="nil"/>
        </w:pBdr>
        <w:shd w:val="clear" w:color="auto" w:fill="FFFFFF"/>
        <w:spacing w:after="225" w:line="240" w:lineRule="auto"/>
        <w:rPr>
          <w:rFonts w:ascii="Source Sans Pro" w:eastAsia="Source Sans Pro" w:hAnsi="Source Sans Pro" w:cs="Source Sans Pro"/>
          <w:b/>
          <w:sz w:val="28"/>
          <w:szCs w:val="28"/>
        </w:rPr>
      </w:pPr>
      <w:r w:rsidRPr="004B1D11">
        <w:rPr>
          <w:rFonts w:ascii="Source Sans Pro" w:eastAsia="Source Sans Pro" w:hAnsi="Source Sans Pro" w:cs="Source Sans Pro"/>
          <w:b/>
          <w:sz w:val="28"/>
          <w:szCs w:val="28"/>
        </w:rPr>
        <w:t>Producto 2 – Informe conteniendo Modelo Digital de Terreno (MDT) de áreas de potencial inundación regional costera del Río Uruguay, de acuerdo a lo solicitado en el Ítem IV, Inciso A.</w:t>
      </w:r>
    </w:p>
    <w:p w14:paraId="6F516F56" w14:textId="77777777" w:rsidR="008958F7" w:rsidRPr="004B1D11" w:rsidRDefault="008958F7">
      <w:pPr>
        <w:pBdr>
          <w:top w:val="nil"/>
          <w:left w:val="nil"/>
          <w:bottom w:val="nil"/>
          <w:right w:val="nil"/>
          <w:between w:val="nil"/>
        </w:pBdr>
        <w:shd w:val="clear" w:color="auto" w:fill="FFFFFF"/>
        <w:spacing w:after="225" w:line="240" w:lineRule="auto"/>
        <w:rPr>
          <w:rFonts w:ascii="Source Sans Pro" w:eastAsia="Source Sans Pro" w:hAnsi="Source Sans Pro" w:cs="Source Sans Pro"/>
          <w:b/>
          <w:sz w:val="28"/>
          <w:szCs w:val="28"/>
        </w:rPr>
      </w:pPr>
    </w:p>
    <w:p w14:paraId="2229382C" w14:textId="77777777" w:rsidR="008958F7" w:rsidRPr="004B1D11" w:rsidRDefault="008958F7">
      <w:pPr>
        <w:pBdr>
          <w:top w:val="nil"/>
          <w:left w:val="nil"/>
          <w:bottom w:val="nil"/>
          <w:right w:val="nil"/>
          <w:between w:val="nil"/>
        </w:pBdr>
        <w:shd w:val="clear" w:color="auto" w:fill="FFFFFF"/>
        <w:spacing w:after="225" w:line="240" w:lineRule="auto"/>
        <w:rPr>
          <w:rFonts w:ascii="Source Sans Pro" w:eastAsia="Source Sans Pro" w:hAnsi="Source Sans Pro" w:cs="Source Sans Pro"/>
          <w:b/>
          <w:sz w:val="24"/>
          <w:szCs w:val="24"/>
        </w:rPr>
      </w:pPr>
    </w:p>
    <w:p w14:paraId="225CA243" w14:textId="77777777" w:rsidR="008958F7" w:rsidRPr="004B1D11" w:rsidRDefault="008958F7">
      <w:pPr>
        <w:pBdr>
          <w:top w:val="nil"/>
          <w:left w:val="nil"/>
          <w:bottom w:val="nil"/>
          <w:right w:val="nil"/>
          <w:between w:val="nil"/>
        </w:pBdr>
        <w:shd w:val="clear" w:color="auto" w:fill="FFFFFF"/>
        <w:spacing w:after="225" w:line="240" w:lineRule="auto"/>
        <w:rPr>
          <w:rFonts w:ascii="Source Sans Pro" w:eastAsia="Source Sans Pro" w:hAnsi="Source Sans Pro" w:cs="Source Sans Pro"/>
          <w:b/>
          <w:sz w:val="24"/>
          <w:szCs w:val="24"/>
        </w:rPr>
      </w:pPr>
    </w:p>
    <w:p w14:paraId="56C9B99B" w14:textId="77777777" w:rsidR="008958F7" w:rsidRPr="004B1D11" w:rsidRDefault="005F0953">
      <w:pPr>
        <w:pBdr>
          <w:top w:val="nil"/>
          <w:left w:val="nil"/>
          <w:bottom w:val="nil"/>
          <w:right w:val="nil"/>
          <w:between w:val="nil"/>
        </w:pBdr>
        <w:shd w:val="clear" w:color="auto" w:fill="FFFFFF"/>
        <w:spacing w:after="225" w:line="240" w:lineRule="auto"/>
        <w:rPr>
          <w:rFonts w:ascii="Source Sans Pro" w:eastAsia="Source Sans Pro" w:hAnsi="Source Sans Pro" w:cs="Source Sans Pro"/>
          <w:b/>
          <w:sz w:val="24"/>
          <w:szCs w:val="24"/>
        </w:rPr>
      </w:pPr>
      <w:r w:rsidRPr="004B1D11">
        <w:rPr>
          <w:rFonts w:ascii="Source Sans Pro" w:eastAsia="Source Sans Pro" w:hAnsi="Source Sans Pro" w:cs="Source Sans Pro"/>
          <w:b/>
          <w:sz w:val="24"/>
          <w:szCs w:val="24"/>
        </w:rPr>
        <w:br/>
        <w:t>Autoría:  Dr. Ricardo Castro-Díaz</w:t>
      </w:r>
    </w:p>
    <w:p w14:paraId="13E26446" w14:textId="77777777" w:rsidR="008958F7" w:rsidRPr="004B1D11" w:rsidRDefault="008958F7">
      <w:pPr>
        <w:pBdr>
          <w:top w:val="nil"/>
          <w:left w:val="nil"/>
          <w:bottom w:val="nil"/>
          <w:right w:val="nil"/>
          <w:between w:val="nil"/>
        </w:pBdr>
        <w:shd w:val="clear" w:color="auto" w:fill="FFFFFF"/>
        <w:spacing w:after="225" w:line="240" w:lineRule="auto"/>
        <w:rPr>
          <w:rFonts w:ascii="Open Sans" w:eastAsia="Open Sans" w:hAnsi="Open Sans" w:cs="Open Sans"/>
          <w:b/>
          <w:sz w:val="20"/>
          <w:szCs w:val="20"/>
        </w:rPr>
      </w:pPr>
    </w:p>
    <w:p w14:paraId="6F2D99A8" w14:textId="77777777" w:rsidR="008958F7" w:rsidRPr="004B1D11" w:rsidRDefault="008958F7">
      <w:pPr>
        <w:pBdr>
          <w:top w:val="nil"/>
          <w:left w:val="nil"/>
          <w:bottom w:val="nil"/>
          <w:right w:val="nil"/>
          <w:between w:val="nil"/>
        </w:pBdr>
        <w:shd w:val="clear" w:color="auto" w:fill="FFFFFF"/>
        <w:spacing w:after="225" w:line="240" w:lineRule="auto"/>
        <w:rPr>
          <w:rFonts w:ascii="Open Sans" w:eastAsia="Open Sans" w:hAnsi="Open Sans" w:cs="Open Sans"/>
          <w:b/>
          <w:sz w:val="20"/>
          <w:szCs w:val="20"/>
        </w:rPr>
      </w:pPr>
    </w:p>
    <w:p w14:paraId="436CC621" w14:textId="77777777" w:rsidR="008958F7" w:rsidRPr="004B1D11" w:rsidRDefault="008958F7">
      <w:pPr>
        <w:pBdr>
          <w:top w:val="nil"/>
          <w:left w:val="nil"/>
          <w:bottom w:val="nil"/>
          <w:right w:val="nil"/>
          <w:between w:val="nil"/>
        </w:pBdr>
        <w:shd w:val="clear" w:color="auto" w:fill="FFFFFF"/>
        <w:spacing w:after="225" w:line="240" w:lineRule="auto"/>
        <w:rPr>
          <w:rFonts w:ascii="Open Sans" w:eastAsia="Open Sans" w:hAnsi="Open Sans" w:cs="Open Sans"/>
          <w:b/>
          <w:sz w:val="20"/>
          <w:szCs w:val="20"/>
        </w:rPr>
      </w:pPr>
    </w:p>
    <w:p w14:paraId="3EF9C2D2" w14:textId="77777777" w:rsidR="008958F7" w:rsidRPr="004B1D11" w:rsidRDefault="008958F7">
      <w:pPr>
        <w:pBdr>
          <w:top w:val="nil"/>
          <w:left w:val="nil"/>
          <w:bottom w:val="nil"/>
          <w:right w:val="nil"/>
          <w:between w:val="nil"/>
        </w:pBdr>
        <w:shd w:val="clear" w:color="auto" w:fill="FFFFFF"/>
        <w:spacing w:after="225" w:line="240" w:lineRule="auto"/>
        <w:rPr>
          <w:rFonts w:ascii="Open Sans" w:eastAsia="Open Sans" w:hAnsi="Open Sans" w:cs="Open Sans"/>
          <w:b/>
          <w:sz w:val="20"/>
          <w:szCs w:val="20"/>
        </w:rPr>
      </w:pPr>
    </w:p>
    <w:p w14:paraId="0EB3BC2C" w14:textId="77777777" w:rsidR="008958F7" w:rsidRPr="004B1D11" w:rsidRDefault="005F0953">
      <w:pPr>
        <w:pBdr>
          <w:top w:val="nil"/>
          <w:left w:val="nil"/>
          <w:bottom w:val="nil"/>
          <w:right w:val="nil"/>
          <w:between w:val="nil"/>
        </w:pBdr>
        <w:shd w:val="clear" w:color="auto" w:fill="FFFFFF"/>
        <w:spacing w:after="225" w:line="240" w:lineRule="auto"/>
        <w:rPr>
          <w:rFonts w:ascii="Open Sans" w:eastAsia="Open Sans" w:hAnsi="Open Sans" w:cs="Open Sans"/>
          <w:sz w:val="24"/>
          <w:szCs w:val="24"/>
        </w:rPr>
      </w:pPr>
      <w:r w:rsidRPr="004B1D11">
        <w:rPr>
          <w:rFonts w:ascii="Open Sans" w:eastAsia="Open Sans" w:hAnsi="Open Sans" w:cs="Open Sans"/>
          <w:sz w:val="24"/>
          <w:szCs w:val="24"/>
        </w:rPr>
        <w:t>Septiembre de 2023</w:t>
      </w:r>
    </w:p>
    <w:p w14:paraId="20469B35" w14:textId="77777777" w:rsidR="008958F7" w:rsidRPr="004B1D11" w:rsidRDefault="008958F7">
      <w:pPr>
        <w:pBdr>
          <w:top w:val="nil"/>
          <w:left w:val="nil"/>
          <w:bottom w:val="nil"/>
          <w:right w:val="nil"/>
          <w:between w:val="nil"/>
        </w:pBdr>
        <w:shd w:val="clear" w:color="auto" w:fill="FFFFFF"/>
        <w:spacing w:after="225" w:line="264" w:lineRule="auto"/>
        <w:rPr>
          <w:rFonts w:ascii="Open Sans" w:eastAsia="Open Sans" w:hAnsi="Open Sans" w:cs="Open Sans"/>
          <w:sz w:val="18"/>
          <w:szCs w:val="18"/>
        </w:rPr>
      </w:pPr>
    </w:p>
    <w:p w14:paraId="4FBD1512" w14:textId="77777777" w:rsidR="008958F7" w:rsidRPr="004B1D11" w:rsidRDefault="005F0953">
      <w:pPr>
        <w:pBdr>
          <w:top w:val="nil"/>
          <w:left w:val="nil"/>
          <w:bottom w:val="nil"/>
          <w:right w:val="nil"/>
          <w:between w:val="nil"/>
        </w:pBdr>
        <w:shd w:val="clear" w:color="auto" w:fill="FFFFFF"/>
        <w:spacing w:after="225" w:line="264" w:lineRule="auto"/>
        <w:rPr>
          <w:rFonts w:ascii="Open Sans" w:eastAsia="Open Sans" w:hAnsi="Open Sans" w:cs="Open Sans"/>
          <w:sz w:val="18"/>
          <w:szCs w:val="18"/>
        </w:rPr>
      </w:pPr>
      <w:r w:rsidRPr="004B1D11">
        <w:rPr>
          <w:rFonts w:ascii="Open Sans" w:eastAsia="Open Sans" w:hAnsi="Open Sans" w:cs="Open Sans"/>
          <w:sz w:val="18"/>
          <w:szCs w:val="18"/>
        </w:rPr>
        <w:t xml:space="preserve">Este documento ha sido elaborado en el marco de la implementación del proyecto regional (Argentina-Uruguay) Adaptación al cambio climático en ciudades y ecosistemas costeros vulnerables del río Uruguay. Se ha recibido una donación del Fondo de Adaptación para su realización y se implementa a través de CAF (Banco de Desarrollo de América Latina). Los componentes regionales del proyecto son ejecutados por PNUD y los componentes nacionales son ejecutados, respectivamente, por el Ministerio de Ambiente y Desarrollo Sostenible de Argentina y por la Corporación Nacional para el Desarrollo de Uruguay. </w:t>
      </w:r>
    </w:p>
    <w:p w14:paraId="23DE450F" w14:textId="77777777" w:rsidR="008958F7" w:rsidRPr="004B1D11" w:rsidRDefault="005F0953">
      <w:pPr>
        <w:pBdr>
          <w:top w:val="nil"/>
          <w:left w:val="nil"/>
          <w:bottom w:val="nil"/>
          <w:right w:val="nil"/>
          <w:between w:val="nil"/>
        </w:pBdr>
        <w:shd w:val="clear" w:color="auto" w:fill="FFFFFF"/>
        <w:spacing w:after="225" w:line="264" w:lineRule="auto"/>
        <w:rPr>
          <w:rFonts w:ascii="Open Sans" w:eastAsia="Open Sans" w:hAnsi="Open Sans" w:cs="Open Sans"/>
          <w:sz w:val="18"/>
          <w:szCs w:val="18"/>
        </w:rPr>
      </w:pPr>
      <w:r w:rsidRPr="004B1D11">
        <w:rPr>
          <w:rFonts w:ascii="Open Sans" w:eastAsia="Open Sans" w:hAnsi="Open Sans" w:cs="Open Sans"/>
          <w:sz w:val="18"/>
          <w:szCs w:val="18"/>
        </w:rPr>
        <w:t xml:space="preserve">El análisis, las observaciones, las recomendaciones de políticas que contiene este documento corresponden exclusivamente a quienes lo han preparado y no reflejan necesariamente las opiniones de las entidades implementadoras y ejecutoras del Proyecto. </w:t>
      </w:r>
    </w:p>
    <w:p w14:paraId="6610807B" w14:textId="77777777" w:rsidR="008958F7" w:rsidRDefault="008958F7">
      <w:pPr>
        <w:jc w:val="center"/>
        <w:rPr>
          <w:rFonts w:ascii="Open Sans" w:eastAsia="Open Sans" w:hAnsi="Open Sans" w:cs="Open Sans"/>
          <w:b/>
          <w:sz w:val="24"/>
          <w:szCs w:val="24"/>
        </w:rPr>
      </w:pPr>
      <w:bookmarkStart w:id="0" w:name="_heading=h.gjdgxs" w:colFirst="0" w:colLast="0"/>
      <w:bookmarkEnd w:id="0"/>
    </w:p>
    <w:p w14:paraId="1BBA732E" w14:textId="77777777" w:rsidR="004B1D11" w:rsidRPr="004B1D11" w:rsidRDefault="004B1D11">
      <w:pPr>
        <w:jc w:val="center"/>
        <w:rPr>
          <w:rFonts w:ascii="Open Sans" w:eastAsia="Open Sans" w:hAnsi="Open Sans" w:cs="Open Sans"/>
          <w:b/>
          <w:sz w:val="24"/>
          <w:szCs w:val="24"/>
        </w:rPr>
      </w:pPr>
    </w:p>
    <w:p w14:paraId="221DE692" w14:textId="77777777" w:rsidR="008958F7" w:rsidRPr="004B1D11" w:rsidRDefault="008958F7">
      <w:pPr>
        <w:jc w:val="center"/>
        <w:rPr>
          <w:rFonts w:ascii="Open Sans" w:eastAsia="Open Sans" w:hAnsi="Open Sans" w:cs="Open Sans"/>
          <w:b/>
          <w:sz w:val="24"/>
          <w:szCs w:val="24"/>
        </w:rPr>
      </w:pPr>
    </w:p>
    <w:p w14:paraId="70233A7D" w14:textId="77777777" w:rsidR="008958F7" w:rsidRPr="004B1D11" w:rsidRDefault="008958F7">
      <w:pPr>
        <w:jc w:val="center"/>
        <w:rPr>
          <w:rFonts w:ascii="Open Sans" w:eastAsia="Open Sans" w:hAnsi="Open Sans" w:cs="Open Sans"/>
          <w:b/>
          <w:sz w:val="24"/>
          <w:szCs w:val="24"/>
        </w:rPr>
      </w:pPr>
    </w:p>
    <w:p w14:paraId="1287CA3E" w14:textId="77777777" w:rsidR="008958F7" w:rsidRPr="004B1D11" w:rsidRDefault="005F0953">
      <w:pPr>
        <w:jc w:val="center"/>
        <w:rPr>
          <w:rFonts w:ascii="Open Sans" w:eastAsia="Open Sans" w:hAnsi="Open Sans" w:cs="Open Sans"/>
          <w:b/>
          <w:sz w:val="24"/>
          <w:szCs w:val="24"/>
        </w:rPr>
      </w:pPr>
      <w:r w:rsidRPr="004B1D11">
        <w:rPr>
          <w:rFonts w:ascii="Open Sans" w:eastAsia="Open Sans" w:hAnsi="Open Sans" w:cs="Open Sans"/>
          <w:b/>
          <w:sz w:val="24"/>
          <w:szCs w:val="24"/>
        </w:rPr>
        <w:lastRenderedPageBreak/>
        <w:t>Resumen</w:t>
      </w:r>
    </w:p>
    <w:p w14:paraId="7E6677AC" w14:textId="77777777" w:rsidR="008958F7" w:rsidRPr="004B1D11" w:rsidRDefault="005F0953">
      <w:pPr>
        <w:rPr>
          <w:rFonts w:ascii="Source Sans Pro" w:eastAsia="Source Sans Pro" w:hAnsi="Source Sans Pro" w:cs="Source Sans Pro"/>
          <w:highlight w:val="white"/>
        </w:rPr>
      </w:pPr>
      <w:r w:rsidRPr="004B1D11">
        <w:rPr>
          <w:rFonts w:ascii="Source Sans Pro" w:eastAsia="Source Sans Pro" w:hAnsi="Source Sans Pro" w:cs="Source Sans Pro"/>
          <w:highlight w:val="white"/>
        </w:rPr>
        <w:t>El documento analiza las áreas potencialmente inundables en la costa entrerriana del Río Uruguay. Presenta un contexto sobre la relevancia de las inundaciones como el principal desastre en la provincia según registros históricos. Describe la metodología para estimar las áreas inundables usando modelos de Tellman et al. (2021) y Pekel et al. (2021) y cotas máximas departamentales identificadas en literatura. Compara las predicciones de área inundable de los modelos para los departamentos de Concordia, Colón, Uruguay y Gualeguaychú. Analiza las áreas inundables por localidad y a nivel regional usando diferentes cotas. Concluye que Gualeguaychú y Uruguay son los departamentos con mayor extensión de área inundable, mientras que Colón presenta la menor. Resalta la alta sensibilidad del área inundable a la cota utilizada.</w:t>
      </w:r>
    </w:p>
    <w:p w14:paraId="3C0A08CE"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i/>
        </w:rPr>
        <w:t>Palabras clave:</w:t>
      </w:r>
      <w:r w:rsidRPr="004B1D11">
        <w:rPr>
          <w:rFonts w:ascii="Source Sans Pro" w:eastAsia="Source Sans Pro" w:hAnsi="Source Sans Pro" w:cs="Source Sans Pro"/>
        </w:rPr>
        <w:t xml:space="preserve"> Inundaciones, Riesgo, Entre Ríos, Áreas Inundables, Cambio climático.</w:t>
      </w:r>
    </w:p>
    <w:p w14:paraId="6800A279" w14:textId="77777777" w:rsidR="008958F7" w:rsidRPr="004B1D11" w:rsidRDefault="005F0953">
      <w:pPr>
        <w:rPr>
          <w:rFonts w:ascii="Quattrocento Sans" w:eastAsia="Quattrocento Sans" w:hAnsi="Quattrocento Sans" w:cs="Quattrocento Sans"/>
          <w:b/>
          <w:highlight w:val="white"/>
        </w:rPr>
      </w:pPr>
      <w:r w:rsidRPr="004B1D11">
        <w:rPr>
          <w:rFonts w:ascii="Quattrocento Sans" w:eastAsia="Quattrocento Sans" w:hAnsi="Quattrocento Sans" w:cs="Quattrocento Sans"/>
          <w:b/>
          <w:highlight w:val="white"/>
        </w:rPr>
        <w:t>Hightlights</w:t>
      </w:r>
    </w:p>
    <w:p w14:paraId="7B65DB6A" w14:textId="77777777" w:rsidR="008958F7" w:rsidRPr="004B1D11" w:rsidRDefault="005F0953">
      <w:pPr>
        <w:numPr>
          <w:ilvl w:val="0"/>
          <w:numId w:val="1"/>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Las inundaciones son el principal desastre en Entre Ríos según registros históricos, con el mayor porcentaje de pérdidas humanas, eventos, afectados y viviendas dañadas.</w:t>
      </w:r>
    </w:p>
    <w:p w14:paraId="0D9F5B16" w14:textId="77777777" w:rsidR="008958F7" w:rsidRPr="004B1D11" w:rsidRDefault="005F0953">
      <w:pPr>
        <w:numPr>
          <w:ilvl w:val="0"/>
          <w:numId w:val="1"/>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Se utilizaron modelos de Tellman et al. (2021) y Pekel et al. (2021) para estimar áreas potencialmente inundables, junto con cotas máximas departamentales.</w:t>
      </w:r>
    </w:p>
    <w:p w14:paraId="35760BEC" w14:textId="77777777" w:rsidR="008958F7" w:rsidRPr="004B1D11" w:rsidRDefault="005F0953">
      <w:pPr>
        <w:numPr>
          <w:ilvl w:val="0"/>
          <w:numId w:val="1"/>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El modelo de Pekel predice las mayores áreas inundables en los 4 departamentos, con diferencias significativas respecto al modelo de Tellman.</w:t>
      </w:r>
    </w:p>
    <w:p w14:paraId="0CB427AB" w14:textId="77777777" w:rsidR="008958F7" w:rsidRPr="004B1D11" w:rsidRDefault="005F0953">
      <w:pPr>
        <w:numPr>
          <w:ilvl w:val="0"/>
          <w:numId w:val="1"/>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Concordia, Colón y Gualeguaychú son las ciudades con mayor área inundable por debajo de la cota departamental.</w:t>
      </w:r>
    </w:p>
    <w:p w14:paraId="766270CF" w14:textId="77777777" w:rsidR="008958F7" w:rsidRPr="004B1D11" w:rsidRDefault="005F0953">
      <w:pPr>
        <w:numPr>
          <w:ilvl w:val="0"/>
          <w:numId w:val="1"/>
        </w:numPr>
        <w:pBdr>
          <w:top w:val="nil"/>
          <w:left w:val="nil"/>
          <w:bottom w:val="nil"/>
          <w:right w:val="nil"/>
          <w:between w:val="nil"/>
        </w:pBdr>
        <w:spacing w:after="0" w:line="240" w:lineRule="auto"/>
        <w:rPr>
          <w:rFonts w:ascii="Open Sans" w:eastAsia="Open Sans" w:hAnsi="Open Sans" w:cs="Open Sans"/>
          <w:b/>
          <w:sz w:val="24"/>
          <w:szCs w:val="24"/>
        </w:rPr>
      </w:pPr>
      <w:r w:rsidRPr="004B1D11">
        <w:rPr>
          <w:rFonts w:ascii="Source Sans Pro" w:eastAsia="Source Sans Pro" w:hAnsi="Source Sans Pro" w:cs="Source Sans Pro"/>
        </w:rPr>
        <w:t>Gualeguaychú y Uruguay dominan en términos de extensión de área total inundable, mientras que Colón presenta la menor. El área es muy sensible a la cota utilizada</w:t>
      </w:r>
      <w:r w:rsidRPr="004B1D11">
        <w:rPr>
          <w:rFonts w:ascii="Open Sans" w:eastAsia="Open Sans" w:hAnsi="Open Sans" w:cs="Open Sans"/>
          <w:b/>
          <w:sz w:val="24"/>
          <w:szCs w:val="24"/>
        </w:rPr>
        <w:t>.</w:t>
      </w:r>
    </w:p>
    <w:p w14:paraId="398E9D0D" w14:textId="77777777" w:rsidR="008958F7" w:rsidRPr="004B1D11" w:rsidRDefault="008958F7">
      <w:pPr>
        <w:rPr>
          <w:rFonts w:ascii="Open Sans" w:eastAsia="Open Sans" w:hAnsi="Open Sans" w:cs="Open Sans"/>
          <w:b/>
        </w:rPr>
      </w:pPr>
    </w:p>
    <w:p w14:paraId="2F2BCC46" w14:textId="77777777" w:rsidR="008958F7" w:rsidRPr="004B1D11" w:rsidRDefault="005F0953">
      <w:pPr>
        <w:rPr>
          <w:rFonts w:ascii="Open Sans" w:eastAsia="Open Sans" w:hAnsi="Open Sans" w:cs="Open Sans"/>
          <w:b/>
        </w:rPr>
      </w:pPr>
      <w:r w:rsidRPr="004B1D11">
        <w:rPr>
          <w:rFonts w:ascii="Open Sans" w:eastAsia="Open Sans" w:hAnsi="Open Sans" w:cs="Open Sans"/>
          <w:b/>
        </w:rPr>
        <w:t xml:space="preserve">Anexos comunes: </w:t>
      </w:r>
    </w:p>
    <w:p w14:paraId="3E485705" w14:textId="77777777" w:rsidR="008958F7" w:rsidRPr="004B1D11" w:rsidRDefault="005F0953">
      <w:pPr>
        <w:numPr>
          <w:ilvl w:val="0"/>
          <w:numId w:val="1"/>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Doce (12) Mapas de Áreas Potencialmente Inundables a partir de modelos y por cotas de inundación a nivel regional y por localidades.</w:t>
      </w:r>
    </w:p>
    <w:p w14:paraId="783F407E" w14:textId="77777777" w:rsidR="008958F7" w:rsidRPr="004B1D11" w:rsidRDefault="005F0953">
      <w:pPr>
        <w:numPr>
          <w:ilvl w:val="0"/>
          <w:numId w:val="1"/>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 xml:space="preserve">Shape de Modelos Combinados (Castro-Díaz R. y Gatti I. 2023) “ModelosCombinados.shp” a partir de información IGN (2023) y modelos Tellman et al. (2021) y Pekel et al. (2016). </w:t>
      </w:r>
    </w:p>
    <w:p w14:paraId="2D9A0E45" w14:textId="77777777" w:rsidR="008958F7" w:rsidRPr="004B1D11" w:rsidRDefault="005F0953">
      <w:pPr>
        <w:numPr>
          <w:ilvl w:val="0"/>
          <w:numId w:val="1"/>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 xml:space="preserve">Shapes de cotas 18 m regional, y para localidades en 7 m, 9 m, 12 m y 18 m según departamento de correspondencia. </w:t>
      </w:r>
    </w:p>
    <w:p w14:paraId="0A224782" w14:textId="77777777" w:rsidR="008958F7" w:rsidRPr="004B1D11" w:rsidRDefault="005F0953">
      <w:pPr>
        <w:pageBreakBefore/>
        <w:jc w:val="center"/>
        <w:rPr>
          <w:rFonts w:ascii="Open Sans" w:eastAsia="Open Sans" w:hAnsi="Open Sans" w:cs="Open Sans"/>
          <w:b/>
          <w:sz w:val="24"/>
          <w:szCs w:val="24"/>
        </w:rPr>
      </w:pPr>
      <w:r w:rsidRPr="004B1D11">
        <w:rPr>
          <w:rFonts w:ascii="Open Sans" w:eastAsia="Open Sans" w:hAnsi="Open Sans" w:cs="Open Sans"/>
          <w:b/>
          <w:sz w:val="24"/>
          <w:szCs w:val="24"/>
        </w:rPr>
        <w:lastRenderedPageBreak/>
        <w:t>El contexto del riesgo a inundación en la Provincia de Entre Ríos (Argentina)</w:t>
      </w:r>
    </w:p>
    <w:p w14:paraId="601E02EB" w14:textId="77777777" w:rsidR="008958F7" w:rsidRPr="004B1D11" w:rsidRDefault="008958F7">
      <w:pPr>
        <w:pBdr>
          <w:top w:val="nil"/>
          <w:left w:val="nil"/>
          <w:bottom w:val="nil"/>
          <w:right w:val="nil"/>
          <w:between w:val="nil"/>
        </w:pBdr>
        <w:shd w:val="clear" w:color="auto" w:fill="FFFFFF"/>
        <w:spacing w:after="225" w:line="264" w:lineRule="auto"/>
        <w:rPr>
          <w:rFonts w:ascii="Open Sans" w:eastAsia="Open Sans" w:hAnsi="Open Sans" w:cs="Open Sans"/>
          <w:sz w:val="18"/>
          <w:szCs w:val="18"/>
        </w:rPr>
      </w:pPr>
    </w:p>
    <w:p w14:paraId="7A62D027"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La cuestión del riesgo en América Latina se ve fuertemente influenciada por la interrelación de cuatro dimensiones conocidas como peligrosidad, exposición, vulnerabilidad social e incertidumbre.  Estas dinámicas corresponden a la condición amenazante, la localización de los bienes y grupos humanos, las características socioeconómicas de las familias y el rol Estado-Gobierno Local.</w:t>
      </w:r>
    </w:p>
    <w:p w14:paraId="3BD85FC1"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En este segundo producto del Proyecto “Definición de áreas potencialmente inundables, a partir de modelos digitales de elevación y su dinámica ante escenarios futuros de cambio climático y, la actualización de los Índices de Vulnerabilidad Social ante Desastres (IVSD) en ciudades costeras del Río Uruguay de la Provincia de Entre Ríos”, se analizan los espacios y territorios humanos en función al área que puede verse afectada por inundaciones como eje central de la situación desastrosa.  A través de este enfoque se logra establecer las áreas prioritarias de monitoreo, seguimiento y atención en relación con la promoción de políticas públicas de orden nacional, provincial y local para la gestión de alertas tempranas institucionales o comunitarias.</w:t>
      </w:r>
    </w:p>
    <w:p w14:paraId="76DE450E" w14:textId="1A80AF2F"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La relación entre áreas predispuestas al desastre no son un simple resultado de su localización.  </w:t>
      </w:r>
      <w:r w:rsidR="00396485" w:rsidRPr="004B1D11">
        <w:rPr>
          <w:rFonts w:ascii="Source Sans Pro" w:eastAsia="Source Sans Pro" w:hAnsi="Source Sans Pro" w:cs="Source Sans Pro"/>
        </w:rPr>
        <w:t>E</w:t>
      </w:r>
      <w:r w:rsidRPr="004B1D11">
        <w:rPr>
          <w:rFonts w:ascii="Source Sans Pro" w:eastAsia="Source Sans Pro" w:hAnsi="Source Sans Pro" w:cs="Source Sans Pro"/>
        </w:rPr>
        <w:t xml:space="preserve">sta información permite conocer aquellas </w:t>
      </w:r>
      <w:r w:rsidR="00396485" w:rsidRPr="004B1D11">
        <w:rPr>
          <w:rFonts w:ascii="Source Sans Pro" w:eastAsia="Source Sans Pro" w:hAnsi="Source Sans Pro" w:cs="Source Sans Pro"/>
        </w:rPr>
        <w:t xml:space="preserve">áreas </w:t>
      </w:r>
      <w:r w:rsidRPr="004B1D11">
        <w:rPr>
          <w:rFonts w:ascii="Source Sans Pro" w:eastAsia="Source Sans Pro" w:hAnsi="Source Sans Pro" w:cs="Source Sans Pro"/>
        </w:rPr>
        <w:t>que están en situación de peligro por una amenaza específica.  Para la costa entrerriana del Río Uruguay, dicha situación está principalmente, pero no únicamente, relacionada con dinámicas de inundación que representan graves afectaciones a las localidades ribereñas.</w:t>
      </w:r>
    </w:p>
    <w:p w14:paraId="480C110A"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La información correspondiente de los últimos cincuenta años del inventario para la Provincia de Entre Ríos a partir del Marco de Trabajo Sendai para la Reducción del Riesgo de Desastres (UNDDR, 2023), indica como primer evento en todos los casos de desastre por porcentaje de pérdidas humanas (36%), número de eventos registrados (56%), afectados o damnificados (82%) y, viviendas destruidas o afectadas (84%).  Ubicando este tipo de situaciones desastrosas por encima de eventos pandémicos, tormenta y sequía en número y porcentaje de pérdidas o afectaciones a vidas humanas y elementos materiales. </w:t>
      </w:r>
    </w:p>
    <w:p w14:paraId="11F6764A"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En los eventos registrados en DESINVENTAR (UNDDR, 2023) para los departamentos de Concordia, Colón, Gualeguaychú y Uruguay se presentan 79 reportes registrados desde el año 1972 hasta 2015.  El último evento desastroso mencionado en DESINVENTAR (UNDDR, 2023) se refiere a inundaciones ocurridas en las localidades de Colón, Concepción del Uruguay, San Antonio de Padua de la Concordia con cerca de 10.000 evacuados, 1 muerto e innumerables pérdidas materiales en producción agropecuaria, vivienda e infraestructura, lo que requirió la Declaración de Emergencia Hídrica, Sanitaria y Vial por el Decreto No. 338 del </w:t>
      </w:r>
      <w:r w:rsidRPr="004B1D11">
        <w:rPr>
          <w:rFonts w:ascii="Source Sans Pro" w:eastAsia="Source Sans Pro" w:hAnsi="Source Sans Pro" w:cs="Source Sans Pro"/>
        </w:rPr>
        <w:lastRenderedPageBreak/>
        <w:t xml:space="preserve">21 de diciembre de 2015 (150 días) y prorrogado por Decreto No. 1476 del 22 de mayo de 2016.  </w:t>
      </w:r>
    </w:p>
    <w:p w14:paraId="3724BD90" w14:textId="3376F16B"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Castro-Díaz et al. (2023) realizaron un inventario de cuantificación de eventos extremos relacionados con precipitaciones severas en tiempo y frecuencia combinando su análisis con la aplicación del Índice de Vulnerabilidad frente a Desastres y la búsqueda de información hemerográfica que reflejara las situaciones catastróficas en la Provincia de Entre Ríos entre los años 2000 a 2020.  Los eventos derivados de lluvias severas fueron clasificados según tipología de Lluvias y Anegamientos, Tormentas, Desborde de Cau</w:t>
      </w:r>
      <w:r w:rsidR="00592BB3" w:rsidRPr="004B1D11">
        <w:rPr>
          <w:rFonts w:ascii="Source Sans Pro" w:eastAsia="Source Sans Pro" w:hAnsi="Source Sans Pro" w:cs="Source Sans Pro"/>
        </w:rPr>
        <w:t>c</w:t>
      </w:r>
      <w:r w:rsidRPr="004B1D11">
        <w:rPr>
          <w:rFonts w:ascii="Source Sans Pro" w:eastAsia="Source Sans Pro" w:hAnsi="Source Sans Pro" w:cs="Source Sans Pro"/>
        </w:rPr>
        <w:t>es y Arroyos Menores, Crecida y Desborde de Ríos Provinciales y, Crecida y Desborde de Grande Ríos Regionales.  Dichos datos fueron recolectados para generar un análisis hemerográfico por tipo de información a la que se hacía mención en las notas periodísticas (Figura 1)</w:t>
      </w:r>
    </w:p>
    <w:p w14:paraId="17891E7F" w14:textId="77777777" w:rsidR="008958F7" w:rsidRPr="004B1D11" w:rsidRDefault="005F0953">
      <w:pPr>
        <w:spacing w:after="192"/>
        <w:jc w:val="center"/>
        <w:rPr>
          <w:rFonts w:ascii="Source Sans Pro" w:eastAsia="Source Sans Pro" w:hAnsi="Source Sans Pro" w:cs="Source Sans Pro"/>
          <w:sz w:val="20"/>
          <w:szCs w:val="20"/>
        </w:rPr>
      </w:pPr>
      <w:r w:rsidRPr="004B1D11">
        <w:rPr>
          <w:rFonts w:ascii="Source Sans Pro" w:eastAsia="Source Sans Pro" w:hAnsi="Source Sans Pro" w:cs="Source Sans Pro"/>
          <w:noProof/>
          <w:sz w:val="20"/>
          <w:szCs w:val="20"/>
        </w:rPr>
        <w:drawing>
          <wp:inline distT="0" distB="0" distL="0" distR="0" wp14:anchorId="2B0E7620" wp14:editId="64D66D35">
            <wp:extent cx="4929498" cy="1628772"/>
            <wp:effectExtent l="0" t="0" r="0" b="0"/>
            <wp:docPr id="2108616896" name="image10.jpg" descr="Gráfico, Gráfico de dispersión&#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0.jpg" descr="Gráfico, Gráfico de dispersión&#10;&#10;Descripción generada automáticamente"/>
                    <pic:cNvPicPr preferRelativeResize="0"/>
                  </pic:nvPicPr>
                  <pic:blipFill>
                    <a:blip r:embed="rId9"/>
                    <a:srcRect l="1008" t="8519" r="2900" b="48887"/>
                    <a:stretch>
                      <a:fillRect/>
                    </a:stretch>
                  </pic:blipFill>
                  <pic:spPr>
                    <a:xfrm>
                      <a:off x="0" y="0"/>
                      <a:ext cx="4929498" cy="1628772"/>
                    </a:xfrm>
                    <a:prstGeom prst="rect">
                      <a:avLst/>
                    </a:prstGeom>
                    <a:ln/>
                  </pic:spPr>
                </pic:pic>
              </a:graphicData>
            </a:graphic>
          </wp:inline>
        </w:drawing>
      </w:r>
    </w:p>
    <w:p w14:paraId="0263B82C" w14:textId="7C5B5B8E"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sz w:val="20"/>
          <w:szCs w:val="20"/>
        </w:rPr>
      </w:pPr>
      <w:bookmarkStart w:id="1" w:name="_heading=h.30j0zll" w:colFirst="0" w:colLast="0"/>
      <w:bookmarkEnd w:id="1"/>
      <w:r w:rsidRPr="004B1D11">
        <w:rPr>
          <w:rFonts w:ascii="Source Sans Pro" w:eastAsia="Source Sans Pro" w:hAnsi="Source Sans Pro" w:cs="Source Sans Pro"/>
          <w:b/>
          <w:sz w:val="18"/>
          <w:szCs w:val="18"/>
        </w:rPr>
        <w:t>Figura 1. Relación de notas periodísticas por año (2000-2020) y tipo de evento (1 – Gestión</w:t>
      </w:r>
      <w:r w:rsidR="00EC7EE2" w:rsidRPr="004B1D11">
        <w:rPr>
          <w:rFonts w:ascii="Source Sans Pro" w:eastAsia="Source Sans Pro" w:hAnsi="Source Sans Pro" w:cs="Source Sans Pro"/>
          <w:b/>
          <w:sz w:val="18"/>
          <w:szCs w:val="18"/>
        </w:rPr>
        <w:t xml:space="preserve"> en naranja</w:t>
      </w:r>
      <w:r w:rsidRPr="004B1D11">
        <w:rPr>
          <w:rFonts w:ascii="Source Sans Pro" w:eastAsia="Source Sans Pro" w:hAnsi="Source Sans Pro" w:cs="Source Sans Pro"/>
          <w:b/>
          <w:sz w:val="18"/>
          <w:szCs w:val="18"/>
        </w:rPr>
        <w:t>; 2 – Tormenta</w:t>
      </w:r>
      <w:r w:rsidR="00EC7EE2" w:rsidRPr="004B1D11">
        <w:rPr>
          <w:rFonts w:ascii="Source Sans Pro" w:eastAsia="Source Sans Pro" w:hAnsi="Source Sans Pro" w:cs="Source Sans Pro"/>
          <w:b/>
          <w:sz w:val="18"/>
          <w:szCs w:val="18"/>
        </w:rPr>
        <w:t xml:space="preserve"> en rojo</w:t>
      </w:r>
      <w:r w:rsidRPr="004B1D11">
        <w:rPr>
          <w:rFonts w:ascii="Source Sans Pro" w:eastAsia="Source Sans Pro" w:hAnsi="Source Sans Pro" w:cs="Source Sans Pro"/>
          <w:b/>
          <w:sz w:val="18"/>
          <w:szCs w:val="18"/>
        </w:rPr>
        <w:t>; 3 – Desborde</w:t>
      </w:r>
      <w:r w:rsidR="00EC7EE2" w:rsidRPr="004B1D11">
        <w:rPr>
          <w:rFonts w:ascii="Source Sans Pro" w:eastAsia="Source Sans Pro" w:hAnsi="Source Sans Pro" w:cs="Source Sans Pro"/>
          <w:b/>
          <w:sz w:val="18"/>
          <w:szCs w:val="18"/>
        </w:rPr>
        <w:t xml:space="preserve"> en azul</w:t>
      </w:r>
      <w:r w:rsidRPr="004B1D11">
        <w:rPr>
          <w:rFonts w:ascii="Source Sans Pro" w:eastAsia="Source Sans Pro" w:hAnsi="Source Sans Pro" w:cs="Source Sans Pro"/>
          <w:b/>
          <w:sz w:val="18"/>
          <w:szCs w:val="18"/>
        </w:rPr>
        <w:t>; y, 4 – Lluvias y anegamiento</w:t>
      </w:r>
      <w:r w:rsidR="00EC7EE2" w:rsidRPr="004B1D11">
        <w:rPr>
          <w:rFonts w:ascii="Source Sans Pro" w:eastAsia="Source Sans Pro" w:hAnsi="Source Sans Pro" w:cs="Source Sans Pro"/>
          <w:b/>
          <w:sz w:val="18"/>
          <w:szCs w:val="18"/>
        </w:rPr>
        <w:t xml:space="preserve"> en verde</w:t>
      </w:r>
      <w:r w:rsidRPr="004B1D11">
        <w:rPr>
          <w:rFonts w:ascii="Source Sans Pro" w:eastAsia="Source Sans Pro" w:hAnsi="Source Sans Pro" w:cs="Source Sans Pro"/>
          <w:b/>
          <w:sz w:val="18"/>
          <w:szCs w:val="18"/>
        </w:rPr>
        <w:t xml:space="preserve">). </w:t>
      </w:r>
      <w:r w:rsidRPr="004B1D11">
        <w:rPr>
          <w:rFonts w:ascii="Source Sans Pro" w:eastAsia="Source Sans Pro" w:hAnsi="Source Sans Pro" w:cs="Source Sans Pro"/>
          <w:sz w:val="20"/>
          <w:szCs w:val="20"/>
        </w:rPr>
        <w:t>Fuente: extraído</w:t>
      </w:r>
      <w:r w:rsidR="00EC7EE2" w:rsidRPr="004B1D11">
        <w:rPr>
          <w:rFonts w:ascii="Source Sans Pro" w:eastAsia="Source Sans Pro" w:hAnsi="Source Sans Pro" w:cs="Source Sans Pro"/>
          <w:sz w:val="20"/>
          <w:szCs w:val="20"/>
        </w:rPr>
        <w:t xml:space="preserve"> </w:t>
      </w:r>
      <w:r w:rsidRPr="004B1D11">
        <w:rPr>
          <w:rFonts w:ascii="Source Sans Pro" w:eastAsia="Source Sans Pro" w:hAnsi="Source Sans Pro" w:cs="Source Sans Pro"/>
          <w:sz w:val="20"/>
          <w:szCs w:val="20"/>
        </w:rPr>
        <w:t>de Castro-Díaz et al. (2023)</w:t>
      </w:r>
      <w:r w:rsidR="00592BB3" w:rsidRPr="004B1D11">
        <w:rPr>
          <w:rFonts w:ascii="Source Sans Pro" w:eastAsia="Source Sans Pro" w:hAnsi="Source Sans Pro" w:cs="Source Sans Pro"/>
          <w:sz w:val="20"/>
          <w:szCs w:val="20"/>
        </w:rPr>
        <w:t xml:space="preserve">  </w:t>
      </w:r>
    </w:p>
    <w:p w14:paraId="469D0EC8"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sz w:val="20"/>
          <w:szCs w:val="20"/>
        </w:rPr>
      </w:pPr>
    </w:p>
    <w:p w14:paraId="124CDB3D"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En la Figura 2 se muestra la relación entre información hemerográfica del periodo 2000 a 2020 por tipo de evento, encontrándose en primera posición las lluvias y anegamiento, seguido por desborde, tormenta y notas sobre gestión de inundaciones.  Los años con mayor número de notas relacionadas son 2019, 2017, 2016 y 2015 (Castro-Díaz et al. 2023).</w:t>
      </w:r>
    </w:p>
    <w:p w14:paraId="29836FB4" w14:textId="73FB7F04"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En la Figura 2 se presenta el porcentaje de eventos catastróficos mencionados en información hemerográfica (2000-2020).  Se puede observar que la mayor proporción de eventos relacionados con la precipitación severa en los cuatro departamentos objeto de estudio, corresponden a inundaciones por Desborde de Grande Ríos Regionales (GRR), Lluvias y Anegamientos (LLyA) y Desborde de Cau</w:t>
      </w:r>
      <w:r w:rsidR="00592BB3" w:rsidRPr="004B1D11">
        <w:rPr>
          <w:rFonts w:ascii="Source Sans Pro" w:eastAsia="Source Sans Pro" w:hAnsi="Source Sans Pro" w:cs="Source Sans Pro"/>
        </w:rPr>
        <w:t>c</w:t>
      </w:r>
      <w:r w:rsidRPr="004B1D11">
        <w:rPr>
          <w:rFonts w:ascii="Source Sans Pro" w:eastAsia="Source Sans Pro" w:hAnsi="Source Sans Pro" w:cs="Source Sans Pro"/>
        </w:rPr>
        <w:t>es y Arroyos Menores (AyCM), respectivamente.</w:t>
      </w:r>
    </w:p>
    <w:p w14:paraId="32611D3D" w14:textId="77777777" w:rsidR="008958F7" w:rsidRPr="004B1D11" w:rsidRDefault="005F0953">
      <w:pPr>
        <w:spacing w:line="480" w:lineRule="auto"/>
        <w:jc w:val="center"/>
        <w:rPr>
          <w:rFonts w:ascii="Source Sans Pro" w:eastAsia="Source Sans Pro" w:hAnsi="Source Sans Pro" w:cs="Source Sans Pro"/>
          <w:sz w:val="24"/>
          <w:szCs w:val="24"/>
        </w:rPr>
      </w:pPr>
      <w:r w:rsidRPr="004B1D11">
        <w:rPr>
          <w:rFonts w:ascii="Source Sans Pro" w:eastAsia="Source Sans Pro" w:hAnsi="Source Sans Pro" w:cs="Source Sans Pro"/>
          <w:noProof/>
          <w:sz w:val="24"/>
          <w:szCs w:val="24"/>
        </w:rPr>
        <w:lastRenderedPageBreak/>
        <w:drawing>
          <wp:inline distT="0" distB="0" distL="0" distR="0" wp14:anchorId="11288451" wp14:editId="5A68C6C7">
            <wp:extent cx="3534524" cy="3806769"/>
            <wp:effectExtent l="0" t="0" r="0" b="0"/>
            <wp:docPr id="210861689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0"/>
                    <a:srcRect l="3937" t="10303" r="6692" b="21642"/>
                    <a:stretch>
                      <a:fillRect/>
                    </a:stretch>
                  </pic:blipFill>
                  <pic:spPr>
                    <a:xfrm>
                      <a:off x="0" y="0"/>
                      <a:ext cx="3534524" cy="3806769"/>
                    </a:xfrm>
                    <a:prstGeom prst="rect">
                      <a:avLst/>
                    </a:prstGeom>
                    <a:ln/>
                  </pic:spPr>
                </pic:pic>
              </a:graphicData>
            </a:graphic>
          </wp:inline>
        </w:drawing>
      </w:r>
    </w:p>
    <w:p w14:paraId="52AB86A0"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2" w:name="_heading=h.1fob9te" w:colFirst="0" w:colLast="0"/>
      <w:bookmarkEnd w:id="2"/>
      <w:r w:rsidRPr="004B1D11">
        <w:rPr>
          <w:rFonts w:ascii="Source Sans Pro" w:eastAsia="Source Sans Pro" w:hAnsi="Source Sans Pro" w:cs="Source Sans Pro"/>
          <w:b/>
          <w:sz w:val="18"/>
          <w:szCs w:val="18"/>
        </w:rPr>
        <w:t>Figura 2.  Frecuencia y tipo de casos referidos episodios de riesgo o presencia de amenazas de origen hidrometeorológico según fuentes hemerográficas (enero 2000-abril 2020) por valor IVSD Sintético por departamento para la provincia de Entre Ríos.  Fuente: extraído de Castro-Díaz et al. (2023)</w:t>
      </w:r>
    </w:p>
    <w:p w14:paraId="19587D52"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72CC7A6B"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Celis (2006) también había advertido la situación catastrófica en su estudio de periodo 1970 a 2004, demostrando la relevancia de las inundaciones a lo largo del litoral argentino.  Advierte que el detonante con mayor frecuencia de las inundaciones son los desbordes de grandes ríos, siendo aumentados en años con periodos de El Niño. </w:t>
      </w:r>
    </w:p>
    <w:p w14:paraId="29814D97"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En este sentido, las áreas que se encuentran fuertemente amenazadas en relación con las inundaciones son aquellas localizadas en áreas de desborde, es decir, localidades ubicadas por debajo de la cota máxima de inundación.  Siendo relevante la causación de la proximidad y el alcance en altura de dichos eventos.</w:t>
      </w:r>
    </w:p>
    <w:p w14:paraId="12444F2A" w14:textId="77777777" w:rsidR="004B1D11" w:rsidRDefault="004B1D11">
      <w:pPr>
        <w:rPr>
          <w:rFonts w:ascii="Source Sans Pro" w:eastAsia="Source Sans Pro" w:hAnsi="Source Sans Pro" w:cs="Source Sans Pro"/>
          <w:b/>
        </w:rPr>
      </w:pPr>
    </w:p>
    <w:p w14:paraId="354F8158" w14:textId="5AE159F1" w:rsidR="008958F7" w:rsidRPr="004B1D11" w:rsidRDefault="005F0953">
      <w:pPr>
        <w:rPr>
          <w:rFonts w:ascii="Source Sans Pro" w:eastAsia="Source Sans Pro" w:hAnsi="Source Sans Pro" w:cs="Source Sans Pro"/>
          <w:b/>
        </w:rPr>
      </w:pPr>
      <w:r w:rsidRPr="004B1D11">
        <w:rPr>
          <w:rFonts w:ascii="Source Sans Pro" w:eastAsia="Source Sans Pro" w:hAnsi="Source Sans Pro" w:cs="Source Sans Pro"/>
          <w:b/>
        </w:rPr>
        <w:t>La dimensión de la exposición</w:t>
      </w:r>
    </w:p>
    <w:p w14:paraId="4621E05D"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Siendo determinante la situación catastrófica de las inundaciones por desborde de grandes ríos en la Provincia de Entre Ríos, este informe se dedica a la estimación de las áreas que se encuentran dentro de cierta proximidad del Río Uruguay combinada con las alturas máximas o cotas máximas de inundación.</w:t>
      </w:r>
    </w:p>
    <w:p w14:paraId="1CA92FFF" w14:textId="5706E42D"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lastRenderedPageBreak/>
        <w:t xml:space="preserve">Para ello, primero se debe entender que este primer informe corresponde a una de las cuatro dimensiones del riesgo que se ha propuesto desde la base teórica sobre riesgo de desastres (Natenzon y Ríos, 2015).  Esta apuesta por entender </w:t>
      </w:r>
      <w:r w:rsidR="00D07D6E" w:rsidRPr="004B1D11">
        <w:rPr>
          <w:rFonts w:ascii="Source Sans Pro" w:eastAsia="Source Sans Pro" w:hAnsi="Source Sans Pro" w:cs="Source Sans Pro"/>
        </w:rPr>
        <w:t xml:space="preserve">que </w:t>
      </w:r>
      <w:r w:rsidRPr="004B1D11">
        <w:rPr>
          <w:rFonts w:ascii="Source Sans Pro" w:eastAsia="Source Sans Pro" w:hAnsi="Source Sans Pro" w:cs="Source Sans Pro"/>
        </w:rPr>
        <w:t>el riesgo desde una perspectiva social</w:t>
      </w:r>
      <w:r w:rsidR="00D07D6E" w:rsidRPr="004B1D11">
        <w:rPr>
          <w:rFonts w:ascii="Source Sans Pro" w:eastAsia="Source Sans Pro" w:hAnsi="Source Sans Pro" w:cs="Source Sans Pro"/>
        </w:rPr>
        <w:t>,</w:t>
      </w:r>
      <w:r w:rsidRPr="004B1D11">
        <w:rPr>
          <w:rFonts w:ascii="Source Sans Pro" w:eastAsia="Source Sans Pro" w:hAnsi="Source Sans Pro" w:cs="Source Sans Pro"/>
        </w:rPr>
        <w:t xml:space="preserve"> no conduce a la exclusiva coherencia de las estructuras sociales inmateriales, sino también de las diversas manifestaciones territoriales que se materializan a lo largo de la región occidental litoral de Entre Ríos.   Esto implica que, a partir del uso de herramientas espaciales, sea posible visualizar y estipular las condiciones determinantes de la dinámica de la inundación con efectos en los desbordes de los grandes ríos.  En este caso, la concentración en analizar las áreas próximas al Río Uruguay depende de ciertas características que se pasan a definir.</w:t>
      </w:r>
    </w:p>
    <w:p w14:paraId="21A305CE"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Las características definidas en este análisis para áreas potenciales de inundación en Entre Ríos son:</w:t>
      </w:r>
    </w:p>
    <w:p w14:paraId="06228436" w14:textId="7E232D13" w:rsidR="008958F7" w:rsidRPr="004B1D11" w:rsidRDefault="005F0953">
      <w:pPr>
        <w:numPr>
          <w:ilvl w:val="0"/>
          <w:numId w:val="2"/>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Áreas de</w:t>
      </w:r>
      <w:r w:rsidR="000812A2" w:rsidRPr="004B1D11">
        <w:rPr>
          <w:rFonts w:ascii="Source Sans Pro" w:eastAsia="Source Sans Pro" w:hAnsi="Source Sans Pro" w:cs="Source Sans Pro"/>
        </w:rPr>
        <w:t xml:space="preserve"> los</w:t>
      </w:r>
      <w:r w:rsidRPr="004B1D11">
        <w:rPr>
          <w:rFonts w:ascii="Source Sans Pro" w:eastAsia="Source Sans Pro" w:hAnsi="Source Sans Pro" w:cs="Source Sans Pro"/>
        </w:rPr>
        <w:t xml:space="preserve"> Departamentos contiguos al Río Uruguay en la costa entrerriana.  </w:t>
      </w:r>
    </w:p>
    <w:p w14:paraId="7536ACF5" w14:textId="77777777" w:rsidR="008958F7" w:rsidRPr="004B1D11" w:rsidRDefault="005F0953">
      <w:pPr>
        <w:numPr>
          <w:ilvl w:val="0"/>
          <w:numId w:val="2"/>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Localidades que se encuentren dentro de las áreas definidas en el punto 1.</w:t>
      </w:r>
    </w:p>
    <w:p w14:paraId="4D962CB0" w14:textId="171A4834" w:rsidR="008958F7" w:rsidRPr="004B1D11" w:rsidRDefault="005F0953">
      <w:pPr>
        <w:numPr>
          <w:ilvl w:val="0"/>
          <w:numId w:val="2"/>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 xml:space="preserve">Áreas </w:t>
      </w:r>
      <w:r w:rsidR="000812A2" w:rsidRPr="004B1D11">
        <w:rPr>
          <w:rFonts w:ascii="Source Sans Pro" w:eastAsia="Source Sans Pro" w:hAnsi="Source Sans Pro" w:cs="Source Sans Pro"/>
        </w:rPr>
        <w:t xml:space="preserve">de los </w:t>
      </w:r>
      <w:r w:rsidRPr="004B1D11">
        <w:rPr>
          <w:rFonts w:ascii="Source Sans Pro" w:eastAsia="Source Sans Pro" w:hAnsi="Source Sans Pro" w:cs="Source Sans Pro"/>
        </w:rPr>
        <w:t>Departamentos que se encuentren por debajo de la cota máxima de inundación histórica o modelada.</w:t>
      </w:r>
    </w:p>
    <w:p w14:paraId="153D352E" w14:textId="77777777" w:rsidR="008958F7" w:rsidRPr="004B1D11" w:rsidRDefault="005F0953">
      <w:pPr>
        <w:numPr>
          <w:ilvl w:val="0"/>
          <w:numId w:val="2"/>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Localidades que se encuentren dentro de las áreas definidas en el punto 3.</w:t>
      </w:r>
    </w:p>
    <w:p w14:paraId="682DE5FF" w14:textId="77777777" w:rsidR="008958F7" w:rsidRPr="004B1D11" w:rsidRDefault="008958F7" w:rsidP="00F315C7">
      <w:pPr>
        <w:pBdr>
          <w:top w:val="nil"/>
          <w:left w:val="nil"/>
          <w:bottom w:val="nil"/>
          <w:right w:val="nil"/>
          <w:between w:val="nil"/>
        </w:pBdr>
        <w:spacing w:after="0" w:line="240" w:lineRule="auto"/>
        <w:ind w:left="720"/>
        <w:rPr>
          <w:rFonts w:ascii="Source Sans Pro" w:eastAsia="Source Sans Pro" w:hAnsi="Source Sans Pro" w:cs="Source Sans Pro"/>
        </w:rPr>
      </w:pPr>
    </w:p>
    <w:p w14:paraId="43DD61FF" w14:textId="77777777" w:rsidR="008958F7" w:rsidRPr="004B1D11" w:rsidRDefault="005F0953">
      <w:pPr>
        <w:rPr>
          <w:rFonts w:ascii="Source Sans Pro" w:eastAsia="Source Sans Pro" w:hAnsi="Source Sans Pro" w:cs="Source Sans Pro"/>
          <w:b/>
        </w:rPr>
      </w:pPr>
      <w:r w:rsidRPr="004B1D11">
        <w:rPr>
          <w:rFonts w:ascii="Source Sans Pro" w:eastAsia="Source Sans Pro" w:hAnsi="Source Sans Pro" w:cs="Source Sans Pro"/>
          <w:b/>
        </w:rPr>
        <w:t>Definición de cotas de inundación</w:t>
      </w:r>
    </w:p>
    <w:p w14:paraId="1F053EDE"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En primer lugar, se realizó una revisión de la documentación brindada por el ente interventor donde diferentes fuentes señalan valores estimados de cotas de inundación o sus relacionadas.  Se presenta la cota máxima de inundación previo desborde en el Reservorio de la Defensa Sur de Concordia (ER) definida en 12 m (PITON, 2016).  También se menciona la cota máxima de inundación previo alerta roja de desastre de 16,5 m en el puerto local de la Ciudad de Concordia y cota de coronamiento de 18 m IGN (s.i.) como punto altimétrico de referencia.  </w:t>
      </w:r>
    </w:p>
    <w:p w14:paraId="036F48B1" w14:textId="43649F0F" w:rsidR="00D07D6E"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Para la ciudad de Gualeguaychú se determina la llanura de inundación de 3,8 metros en la escala del puerto encontrándose una máxima de 6,8 m (Grupo GECRU, 2019)</w:t>
      </w:r>
      <w:r w:rsidR="003E14A1" w:rsidRPr="004B1D11">
        <w:rPr>
          <w:rStyle w:val="Refdenotaalpie"/>
          <w:rFonts w:ascii="Source Sans Pro" w:eastAsia="Source Sans Pro" w:hAnsi="Source Sans Pro" w:cs="Source Sans Pro"/>
        </w:rPr>
        <w:footnoteReference w:id="1"/>
      </w:r>
      <w:r w:rsidRPr="004B1D11">
        <w:rPr>
          <w:rFonts w:ascii="Source Sans Pro" w:eastAsia="Source Sans Pro" w:hAnsi="Source Sans Pro" w:cs="Source Sans Pro"/>
        </w:rPr>
        <w:t xml:space="preserve"> para el emprendimiento Amarras en </w:t>
      </w:r>
      <w:r w:rsidR="00D07D6E" w:rsidRPr="004B1D11">
        <w:rPr>
          <w:rFonts w:ascii="Source Sans Pro" w:eastAsia="Source Sans Pro" w:hAnsi="Source Sans Pro" w:cs="Source Sans Pro"/>
        </w:rPr>
        <w:t>Pueblo General Belgrano</w:t>
      </w:r>
      <w:r w:rsidR="00D07D6E" w:rsidRPr="004B1D11">
        <w:rPr>
          <w:rStyle w:val="Refdenotaalpie"/>
          <w:rFonts w:ascii="Source Sans Pro" w:eastAsia="Source Sans Pro" w:hAnsi="Source Sans Pro" w:cs="Source Sans Pro"/>
        </w:rPr>
        <w:footnoteReference w:id="2"/>
      </w:r>
      <w:r w:rsidR="004E5EEB" w:rsidRPr="004B1D11">
        <w:rPr>
          <w:rFonts w:ascii="Source Sans Pro" w:eastAsia="Source Sans Pro" w:hAnsi="Source Sans Pro" w:cs="Source Sans Pro"/>
        </w:rPr>
        <w:t>.</w:t>
      </w:r>
      <w:r w:rsidRPr="004B1D11">
        <w:rPr>
          <w:rFonts w:ascii="Source Sans Pro" w:eastAsia="Source Sans Pro" w:hAnsi="Source Sans Pro" w:cs="Source Sans Pro"/>
        </w:rPr>
        <w:t xml:space="preserve"> </w:t>
      </w:r>
      <w:proofErr w:type="spellStart"/>
      <w:r w:rsidRPr="004B1D11">
        <w:rPr>
          <w:rFonts w:ascii="Source Sans Pro" w:eastAsia="Source Sans Pro" w:hAnsi="Source Sans Pro" w:cs="Source Sans Pro"/>
        </w:rPr>
        <w:t>Carñel</w:t>
      </w:r>
      <w:proofErr w:type="spellEnd"/>
      <w:r w:rsidRPr="004B1D11">
        <w:rPr>
          <w:rFonts w:ascii="Source Sans Pro" w:eastAsia="Source Sans Pro" w:hAnsi="Source Sans Pro" w:cs="Source Sans Pro"/>
        </w:rPr>
        <w:t xml:space="preserve"> et al. (2016) hacen referencia a la cota 8,5 de inundación según el mínimo donde </w:t>
      </w:r>
      <w:r w:rsidR="00B06F65" w:rsidRPr="004B1D11">
        <w:rPr>
          <w:rFonts w:ascii="Source Sans Pro" w:eastAsia="Source Sans Pro" w:hAnsi="Source Sans Pro" w:cs="Source Sans Pro"/>
        </w:rPr>
        <w:t xml:space="preserve">se </w:t>
      </w:r>
      <w:r w:rsidRPr="004B1D11">
        <w:rPr>
          <w:rFonts w:ascii="Source Sans Pro" w:eastAsia="Source Sans Pro" w:hAnsi="Source Sans Pro" w:cs="Source Sans Pro"/>
        </w:rPr>
        <w:t xml:space="preserve">puede realizar edificaciones en la ciudad de Concepción del Uruguay.   Serman (2023) señala un histórico de inundación para octubre de 2015, aunque no máximo histórico, para una cota de 10,5. </w:t>
      </w:r>
    </w:p>
    <w:p w14:paraId="27498C36" w14:textId="1527F900" w:rsidR="008958F7" w:rsidRPr="004B1D11" w:rsidRDefault="008958F7">
      <w:pPr>
        <w:rPr>
          <w:rFonts w:ascii="Source Sans Pro" w:eastAsia="Source Sans Pro" w:hAnsi="Source Sans Pro" w:cs="Source Sans Pro"/>
        </w:rPr>
      </w:pPr>
    </w:p>
    <w:p w14:paraId="4B94CAFC"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En segundo lugar, se realizó la modelación de las áreas de inundación usando los datos aportados por el Global Flood Database (Tellman et al., 2021), que utiliza valores diarios de la misión MODIS a 250 m de resolución resultado de la banda 1 (621-670 nm) y 2 (841-875 nm), y SWIR (1628-1652 nm) desde el año 2000 hasta 2020.  Estos datos son relacionados en cinco bandas: área inundada, duración, cielo despejado y porcentaje de éste, y cuerpos de agua permanente.  Estos fueron posibles de ser obtenidos sólo para tres de los cuatro departamentos donde fue exceptuado del modelamiento de Tellman et al. (2021), el Departamento de Gualeguaychú.  </w:t>
      </w:r>
    </w:p>
    <w:p w14:paraId="263BF772"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Para la función matemática de hallar el área de inundación según Tellman et al. (2021) para la zona de estudio para tres de los cuatro Departamentos (</w:t>
      </w:r>
      <w:r w:rsidRPr="004B1D11">
        <w:rPr>
          <w:rFonts w:ascii="Source Sans Pro" w:eastAsia="Source Sans Pro" w:hAnsi="Source Sans Pro" w:cs="Source Sans Pro"/>
          <w:i/>
        </w:rPr>
        <w:t>Ecuación 1</w:t>
      </w:r>
      <w:r w:rsidRPr="004B1D11">
        <w:rPr>
          <w:rFonts w:ascii="Source Sans Pro" w:eastAsia="Source Sans Pro" w:hAnsi="Source Sans Pro" w:cs="Source Sans Pro"/>
        </w:rPr>
        <w:t>):</w:t>
      </w:r>
    </w:p>
    <w:p w14:paraId="65909858" w14:textId="77777777" w:rsidR="008958F7" w:rsidRPr="004B1D11" w:rsidRDefault="005F0953">
      <w:pPr>
        <w:rPr>
          <w:rFonts w:ascii="Source Sans Pro" w:eastAsia="Source Sans Pro" w:hAnsi="Source Sans Pro" w:cs="Source Sans Pro"/>
        </w:rPr>
      </w:pPr>
      <w:bookmarkStart w:id="3" w:name="_heading=h.3znysh7" w:colFirst="0" w:colLast="0"/>
      <w:bookmarkEnd w:id="3"/>
      <w:r w:rsidRPr="004B1D11">
        <w:rPr>
          <w:rFonts w:ascii="Source Sans Pro" w:eastAsia="Source Sans Pro" w:hAnsi="Source Sans Pro" w:cs="Source Sans Pro"/>
        </w:rPr>
        <w:t xml:space="preserve">                </w:t>
      </w:r>
      <m:oMath>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inund</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flooded</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jrc_perm_water</m:t>
            </m:r>
          </m:sub>
        </m:sSub>
      </m:oMath>
      <w:r w:rsidRPr="004B1D11">
        <w:rPr>
          <w:rFonts w:ascii="Source Sans Pro" w:eastAsia="Source Sans Pro" w:hAnsi="Source Sans Pro" w:cs="Source Sans Pro"/>
        </w:rPr>
        <w:t xml:space="preserve">  </w:t>
      </w:r>
      <w:r w:rsidRPr="004B1D11">
        <w:rPr>
          <w:rFonts w:ascii="Source Sans Pro" w:eastAsia="Source Sans Pro" w:hAnsi="Source Sans Pro" w:cs="Source Sans Pro"/>
        </w:rPr>
        <w:tab/>
        <w:t xml:space="preserve">          </w:t>
      </w:r>
      <w:r w:rsidRPr="004B1D11">
        <w:rPr>
          <w:rFonts w:ascii="Source Sans Pro" w:eastAsia="Source Sans Pro" w:hAnsi="Source Sans Pro" w:cs="Source Sans Pro"/>
        </w:rPr>
        <w:tab/>
      </w:r>
      <w:r w:rsidRPr="004B1D11">
        <w:rPr>
          <w:rFonts w:ascii="Source Sans Pro" w:eastAsia="Source Sans Pro" w:hAnsi="Source Sans Pro" w:cs="Source Sans Pro"/>
        </w:rPr>
        <w:tab/>
        <w:t xml:space="preserve">    </w:t>
      </w:r>
      <w:r w:rsidRPr="004B1D11">
        <w:rPr>
          <w:rFonts w:ascii="Source Sans Pro" w:eastAsia="Source Sans Pro" w:hAnsi="Source Sans Pro" w:cs="Source Sans Pro"/>
          <w:i/>
        </w:rPr>
        <w:t>Ecuación 1</w:t>
      </w:r>
      <w:r w:rsidRPr="004B1D11">
        <w:rPr>
          <w:rFonts w:ascii="Source Sans Pro" w:eastAsia="Source Sans Pro" w:hAnsi="Source Sans Pro" w:cs="Source Sans Pro"/>
        </w:rPr>
        <w:t xml:space="preserve">         </w:t>
      </w:r>
    </w:p>
    <w:p w14:paraId="77315031"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donde, </w:t>
      </w:r>
      <m:oMath>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inund</m:t>
            </m:r>
          </m:sub>
        </m:sSub>
      </m:oMath>
      <w:r w:rsidRPr="004B1D11">
        <w:rPr>
          <w:rFonts w:ascii="Source Sans Pro" w:eastAsia="Source Sans Pro" w:hAnsi="Source Sans Pro" w:cs="Source Sans Pro"/>
        </w:rPr>
        <w:t xml:space="preserve"> corresponde al área estimada de inundación, </w:t>
      </w:r>
      <m:oMath>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flooded</m:t>
            </m:r>
          </m:sub>
        </m:sSub>
      </m:oMath>
      <w:r w:rsidRPr="004B1D11">
        <w:rPr>
          <w:rFonts w:ascii="Source Sans Pro" w:eastAsia="Source Sans Pro" w:hAnsi="Source Sans Pro" w:cs="Source Sans Pro"/>
        </w:rPr>
        <w:t xml:space="preserve"> es el área modelada de inundación y </w:t>
      </w:r>
      <m:oMath>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jrc_perm_water</m:t>
            </m:r>
          </m:sub>
        </m:sSub>
      </m:oMath>
      <w:r w:rsidRPr="004B1D11">
        <w:rPr>
          <w:rFonts w:ascii="Source Sans Pro" w:eastAsia="Source Sans Pro" w:hAnsi="Source Sans Pro" w:cs="Source Sans Pro"/>
        </w:rPr>
        <w:t xml:space="preserve"> es el área cubierta por agua de manera permanente.</w:t>
      </w:r>
    </w:p>
    <w:p w14:paraId="39DE5B0B"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En tercer lugar, se estimó el área de inundación a partir del Global Dataset Mosaic de imágenes Landsat, que calcula las áreas inundables a partir del modelo Global Surface Water (Pekel et al., 2016).  Este método computa la Ocurrencia de Agua Superficial (SWO, por sus siglas en inglés) a partir de las detecciones de agua (WO) y observaciones válidas (VO) usando el cálculo de área promedio mensual de agua en largos periodos del año.  Tiene en cuenta la intensidad de cambio de ocurrencia, estacionalidad, recurrencia, transiciones, extensión máxima de agua, recurrencia mensual, anualidad y registro de agua mensual.  </w:t>
      </w:r>
    </w:p>
    <w:p w14:paraId="2257768F"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Esta información se encuentra disponible para los cuatro departamentos focalizados en este estudio para el periodo 1984 a 2021.  Para el presente informe se calculó el área de inundación usando el modelo Global Surface Water (Pekel et al., 2016) usando la </w:t>
      </w:r>
      <w:r w:rsidRPr="004B1D11">
        <w:rPr>
          <w:rFonts w:ascii="Source Sans Pro" w:eastAsia="Source Sans Pro" w:hAnsi="Source Sans Pro" w:cs="Source Sans Pro"/>
          <w:i/>
        </w:rPr>
        <w:t>Ecuación 2</w:t>
      </w:r>
      <w:r w:rsidRPr="004B1D11">
        <w:rPr>
          <w:rFonts w:ascii="Source Sans Pro" w:eastAsia="Source Sans Pro" w:hAnsi="Source Sans Pro" w:cs="Source Sans Pro"/>
        </w:rPr>
        <w:t>.</w:t>
      </w:r>
    </w:p>
    <w:p w14:paraId="106C2352" w14:textId="77777777" w:rsidR="008958F7" w:rsidRPr="004B1D11" w:rsidRDefault="005F0953">
      <w:pPr>
        <w:rPr>
          <w:rFonts w:ascii="Source Sans Pro" w:eastAsia="Source Sans Pro" w:hAnsi="Source Sans Pro" w:cs="Source Sans Pro"/>
          <w:i/>
        </w:rPr>
      </w:pPr>
      <w:bookmarkStart w:id="4" w:name="_heading=h.2et92p0" w:colFirst="0" w:colLast="0"/>
      <w:bookmarkEnd w:id="4"/>
      <w:r w:rsidRPr="004B1D11">
        <w:rPr>
          <w:rFonts w:ascii="Source Sans Pro" w:eastAsia="Source Sans Pro" w:hAnsi="Source Sans Pro" w:cs="Source Sans Pro"/>
        </w:rPr>
        <w:t xml:space="preserve">          </w:t>
      </w:r>
      <m:oMath>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inund</m:t>
            </m:r>
          </m:sub>
        </m:sSub>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GDM</m:t>
            </m:r>
          </m:sub>
        </m:sSub>
        <m:r>
          <w:rPr>
            <w:rFonts w:ascii="Cambria Math" w:eastAsia="Cambria Math" w:hAnsi="Cambria Math" w:cs="Cambria Math"/>
          </w:rPr>
          <m:t xml:space="preserve">- </m:t>
        </m:r>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Agua Continental</m:t>
            </m:r>
          </m:sub>
        </m:sSub>
      </m:oMath>
      <w:r w:rsidRPr="004B1D11">
        <w:rPr>
          <w:rFonts w:ascii="Source Sans Pro" w:eastAsia="Source Sans Pro" w:hAnsi="Source Sans Pro" w:cs="Source Sans Pro"/>
        </w:rPr>
        <w:t xml:space="preserve">                          </w:t>
      </w:r>
      <w:r w:rsidRPr="004B1D11">
        <w:rPr>
          <w:rFonts w:ascii="Source Sans Pro" w:eastAsia="Source Sans Pro" w:hAnsi="Source Sans Pro" w:cs="Source Sans Pro"/>
          <w:i/>
        </w:rPr>
        <w:t xml:space="preserve">                       Ecuación 2</w:t>
      </w:r>
    </w:p>
    <w:p w14:paraId="1F93AC53"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donde, el </w:t>
      </w:r>
      <m:oMath>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inund</m:t>
            </m:r>
          </m:sub>
        </m:sSub>
      </m:oMath>
      <w:r w:rsidRPr="004B1D11">
        <w:rPr>
          <w:rFonts w:ascii="Source Sans Pro" w:eastAsia="Source Sans Pro" w:hAnsi="Source Sans Pro" w:cs="Source Sans Pro"/>
        </w:rPr>
        <w:t xml:space="preserve"> es el área de inundación, </w:t>
      </w:r>
      <m:oMath>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GDM</m:t>
            </m:r>
          </m:sub>
        </m:sSub>
      </m:oMath>
      <w:r w:rsidRPr="004B1D11">
        <w:rPr>
          <w:rFonts w:ascii="Source Sans Pro" w:eastAsia="Source Sans Pro" w:hAnsi="Source Sans Pro" w:cs="Source Sans Pro"/>
        </w:rPr>
        <w:t xml:space="preserve"> corresponde al área inundada obtenida del Global Dataset Mosaic calculado por Pekel et al. (2021), y </w:t>
      </w:r>
      <m:oMath>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Agua Continental</m:t>
            </m:r>
          </m:sub>
        </m:sSub>
      </m:oMath>
      <w:r w:rsidRPr="004B1D11">
        <w:rPr>
          <w:rFonts w:ascii="Source Sans Pro" w:eastAsia="Source Sans Pro" w:hAnsi="Source Sans Pro" w:cs="Source Sans Pro"/>
        </w:rPr>
        <w:t xml:space="preserve"> es el área de aguas permanentes y continentales del IGN (2023).  </w:t>
      </w:r>
    </w:p>
    <w:p w14:paraId="7F46B414"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Por último, el cálculo total de las áreas potencialmente inundables para Entre Ríos se generó a partir de la identificación de las cotas locales de las tres fuentes de información:</w:t>
      </w:r>
    </w:p>
    <w:p w14:paraId="567771DA" w14:textId="77777777" w:rsidR="008958F7" w:rsidRPr="004B1D11" w:rsidRDefault="005F0953">
      <w:pPr>
        <w:numPr>
          <w:ilvl w:val="0"/>
          <w:numId w:val="3"/>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Informes técnicos de organización como PITON, instituciones oficiales de geografía como el IGN, y autores tales como Grupo GECRU, Carñel et al, y Serman.</w:t>
      </w:r>
    </w:p>
    <w:p w14:paraId="3F57AB83" w14:textId="77777777" w:rsidR="008958F7" w:rsidRPr="004B1D11" w:rsidRDefault="005F0953">
      <w:pPr>
        <w:numPr>
          <w:ilvl w:val="0"/>
          <w:numId w:val="3"/>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lastRenderedPageBreak/>
        <w:t>Modelo Tellman et al. (2022).</w:t>
      </w:r>
    </w:p>
    <w:p w14:paraId="215B88F9" w14:textId="77777777" w:rsidR="008958F7" w:rsidRPr="004B1D11" w:rsidRDefault="005F0953">
      <w:pPr>
        <w:numPr>
          <w:ilvl w:val="0"/>
          <w:numId w:val="3"/>
        </w:numPr>
        <w:pBdr>
          <w:top w:val="nil"/>
          <w:left w:val="nil"/>
          <w:bottom w:val="nil"/>
          <w:right w:val="nil"/>
          <w:between w:val="nil"/>
        </w:pBdr>
        <w:spacing w:after="0" w:line="240" w:lineRule="auto"/>
        <w:rPr>
          <w:rFonts w:ascii="Source Sans Pro" w:eastAsia="Source Sans Pro" w:hAnsi="Source Sans Pro" w:cs="Source Sans Pro"/>
        </w:rPr>
      </w:pPr>
      <w:r w:rsidRPr="004B1D11">
        <w:rPr>
          <w:rFonts w:ascii="Source Sans Pro" w:eastAsia="Source Sans Pro" w:hAnsi="Source Sans Pro" w:cs="Source Sans Pro"/>
        </w:rPr>
        <w:t>Modelo Pekel et al. (2021).</w:t>
      </w:r>
    </w:p>
    <w:p w14:paraId="4FA27DC4" w14:textId="77777777" w:rsidR="008958F7" w:rsidRPr="004B1D11" w:rsidRDefault="008958F7">
      <w:pPr>
        <w:pBdr>
          <w:top w:val="nil"/>
          <w:left w:val="nil"/>
          <w:bottom w:val="nil"/>
          <w:right w:val="nil"/>
          <w:between w:val="nil"/>
        </w:pBdr>
        <w:spacing w:after="0" w:line="240" w:lineRule="auto"/>
        <w:ind w:left="720"/>
        <w:rPr>
          <w:rFonts w:ascii="Source Sans Pro" w:eastAsia="Source Sans Pro" w:hAnsi="Source Sans Pro" w:cs="Source Sans Pro"/>
        </w:rPr>
      </w:pPr>
    </w:p>
    <w:p w14:paraId="27BFA2B8"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Estas nuevas Áreas Potencialmente Inundables (API) se conformaron del valor máximo de las cotas identificadas para cada departamento (Tabla 1)</w:t>
      </w:r>
    </w:p>
    <w:p w14:paraId="039B9F88"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r w:rsidRPr="004B1D11">
        <w:rPr>
          <w:rFonts w:ascii="Source Sans Pro" w:eastAsia="Source Sans Pro" w:hAnsi="Source Sans Pro" w:cs="Source Sans Pro"/>
          <w:b/>
          <w:sz w:val="18"/>
          <w:szCs w:val="18"/>
        </w:rPr>
        <w:t>Tabla 1.  Cotas identificadas para cada Departamento para Áreas Potencialmente Inundables (API) a partir de información secundaria, Modelo Tellman y Modelo Pekel.</w:t>
      </w:r>
    </w:p>
    <w:tbl>
      <w:tblPr>
        <w:tblStyle w:val="a"/>
        <w:tblW w:w="7511" w:type="dxa"/>
        <w:tblInd w:w="0" w:type="dxa"/>
        <w:tblBorders>
          <w:top w:val="single" w:sz="4" w:space="0" w:color="7F7F7F"/>
          <w:left w:val="single" w:sz="4" w:space="0" w:color="000000"/>
          <w:bottom w:val="single" w:sz="4" w:space="0" w:color="7F7F7F"/>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71"/>
        <w:gridCol w:w="1542"/>
        <w:gridCol w:w="1605"/>
        <w:gridCol w:w="1232"/>
        <w:gridCol w:w="1061"/>
      </w:tblGrid>
      <w:tr w:rsidR="004B1D11" w:rsidRPr="004B1D11" w14:paraId="3B643B21" w14:textId="77777777" w:rsidTr="008958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1" w:type="dxa"/>
          </w:tcPr>
          <w:p w14:paraId="0443CFCB" w14:textId="77777777" w:rsidR="008958F7" w:rsidRPr="004B1D11" w:rsidRDefault="008958F7">
            <w:pPr>
              <w:rPr>
                <w:rFonts w:ascii="Source Sans Pro" w:eastAsia="Source Sans Pro" w:hAnsi="Source Sans Pro" w:cs="Source Sans Pro"/>
              </w:rPr>
            </w:pPr>
          </w:p>
        </w:tc>
        <w:tc>
          <w:tcPr>
            <w:tcW w:w="5440" w:type="dxa"/>
            <w:gridSpan w:val="4"/>
          </w:tcPr>
          <w:p w14:paraId="388758BE" w14:textId="77777777" w:rsidR="008958F7" w:rsidRPr="004B1D11" w:rsidRDefault="005F0953">
            <w:pPr>
              <w:jc w:val="center"/>
              <w:cnfStyle w:val="100000000000" w:firstRow="1"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Cotas máximas identificadas (m.s.n.m.)</w:t>
            </w:r>
          </w:p>
        </w:tc>
      </w:tr>
      <w:tr w:rsidR="004B1D11" w:rsidRPr="004B1D11" w14:paraId="7F3D4763" w14:textId="77777777" w:rsidTr="008958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1" w:type="dxa"/>
          </w:tcPr>
          <w:p w14:paraId="0F3D2D1E"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Departamento</w:t>
            </w:r>
          </w:p>
        </w:tc>
        <w:tc>
          <w:tcPr>
            <w:tcW w:w="1542" w:type="dxa"/>
          </w:tcPr>
          <w:p w14:paraId="38F8A05B"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b/>
              </w:rPr>
            </w:pPr>
            <w:r w:rsidRPr="004B1D11">
              <w:rPr>
                <w:rFonts w:ascii="Source Sans Pro" w:eastAsia="Source Sans Pro" w:hAnsi="Source Sans Pro" w:cs="Source Sans Pro"/>
                <w:b/>
              </w:rPr>
              <w:t>Secundaria</w:t>
            </w:r>
          </w:p>
        </w:tc>
        <w:tc>
          <w:tcPr>
            <w:tcW w:w="1605" w:type="dxa"/>
          </w:tcPr>
          <w:p w14:paraId="352C8F56"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b/>
              </w:rPr>
            </w:pPr>
            <w:r w:rsidRPr="004B1D11">
              <w:rPr>
                <w:rFonts w:ascii="Source Sans Pro" w:eastAsia="Source Sans Pro" w:hAnsi="Source Sans Pro" w:cs="Source Sans Pro"/>
                <w:b/>
              </w:rPr>
              <w:t xml:space="preserve">Tellman </w:t>
            </w:r>
          </w:p>
        </w:tc>
        <w:tc>
          <w:tcPr>
            <w:tcW w:w="1232" w:type="dxa"/>
          </w:tcPr>
          <w:p w14:paraId="0983ACA3"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b/>
              </w:rPr>
            </w:pPr>
            <w:r w:rsidRPr="004B1D11">
              <w:rPr>
                <w:rFonts w:ascii="Source Sans Pro" w:eastAsia="Source Sans Pro" w:hAnsi="Source Sans Pro" w:cs="Source Sans Pro"/>
                <w:b/>
              </w:rPr>
              <w:t xml:space="preserve">Pekel </w:t>
            </w:r>
          </w:p>
        </w:tc>
        <w:tc>
          <w:tcPr>
            <w:tcW w:w="1061" w:type="dxa"/>
          </w:tcPr>
          <w:p w14:paraId="1B82AD41"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b/>
              </w:rPr>
            </w:pPr>
            <w:r w:rsidRPr="004B1D11">
              <w:rPr>
                <w:rFonts w:ascii="Source Sans Pro" w:eastAsia="Source Sans Pro" w:hAnsi="Source Sans Pro" w:cs="Source Sans Pro"/>
                <w:b/>
              </w:rPr>
              <w:t xml:space="preserve">API </w:t>
            </w:r>
          </w:p>
        </w:tc>
      </w:tr>
      <w:tr w:rsidR="004B1D11" w:rsidRPr="004B1D11" w14:paraId="7897EDDE" w14:textId="77777777" w:rsidTr="008958F7">
        <w:tc>
          <w:tcPr>
            <w:cnfStyle w:val="001000000000" w:firstRow="0" w:lastRow="0" w:firstColumn="1" w:lastColumn="0" w:oddVBand="0" w:evenVBand="0" w:oddHBand="0" w:evenHBand="0" w:firstRowFirstColumn="0" w:firstRowLastColumn="0" w:lastRowFirstColumn="0" w:lastRowLastColumn="0"/>
            <w:tcW w:w="2071" w:type="dxa"/>
          </w:tcPr>
          <w:p w14:paraId="6CE8AAAE"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b w:val="0"/>
              </w:rPr>
              <w:t>Colón</w:t>
            </w:r>
          </w:p>
        </w:tc>
        <w:tc>
          <w:tcPr>
            <w:tcW w:w="1542" w:type="dxa"/>
          </w:tcPr>
          <w:p w14:paraId="34E8D005"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10,5</w:t>
            </w:r>
          </w:p>
        </w:tc>
        <w:tc>
          <w:tcPr>
            <w:tcW w:w="1605" w:type="dxa"/>
          </w:tcPr>
          <w:p w14:paraId="62811E90"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10</w:t>
            </w:r>
          </w:p>
        </w:tc>
        <w:tc>
          <w:tcPr>
            <w:tcW w:w="1232" w:type="dxa"/>
          </w:tcPr>
          <w:p w14:paraId="0E7E76D9"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12</w:t>
            </w:r>
          </w:p>
        </w:tc>
        <w:tc>
          <w:tcPr>
            <w:tcW w:w="1061" w:type="dxa"/>
          </w:tcPr>
          <w:p w14:paraId="24A211F7"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12</w:t>
            </w:r>
          </w:p>
        </w:tc>
      </w:tr>
      <w:tr w:rsidR="004B1D11" w:rsidRPr="004B1D11" w14:paraId="36FE5CEB" w14:textId="77777777" w:rsidTr="008958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1" w:type="dxa"/>
          </w:tcPr>
          <w:p w14:paraId="778D663D"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b w:val="0"/>
              </w:rPr>
              <w:t>Concordia</w:t>
            </w:r>
          </w:p>
        </w:tc>
        <w:tc>
          <w:tcPr>
            <w:tcW w:w="1542" w:type="dxa"/>
          </w:tcPr>
          <w:p w14:paraId="06983776"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16,5</w:t>
            </w:r>
          </w:p>
        </w:tc>
        <w:tc>
          <w:tcPr>
            <w:tcW w:w="1605" w:type="dxa"/>
          </w:tcPr>
          <w:p w14:paraId="189462BE"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18</w:t>
            </w:r>
          </w:p>
        </w:tc>
        <w:tc>
          <w:tcPr>
            <w:tcW w:w="1232" w:type="dxa"/>
          </w:tcPr>
          <w:p w14:paraId="0F9CC155"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17</w:t>
            </w:r>
          </w:p>
        </w:tc>
        <w:tc>
          <w:tcPr>
            <w:tcW w:w="1061" w:type="dxa"/>
          </w:tcPr>
          <w:p w14:paraId="0BB19719"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18</w:t>
            </w:r>
          </w:p>
        </w:tc>
      </w:tr>
      <w:tr w:rsidR="004B1D11" w:rsidRPr="004B1D11" w14:paraId="7895AADF" w14:textId="77777777" w:rsidTr="008958F7">
        <w:tc>
          <w:tcPr>
            <w:cnfStyle w:val="001000000000" w:firstRow="0" w:lastRow="0" w:firstColumn="1" w:lastColumn="0" w:oddVBand="0" w:evenVBand="0" w:oddHBand="0" w:evenHBand="0" w:firstRowFirstColumn="0" w:firstRowLastColumn="0" w:lastRowFirstColumn="0" w:lastRowLastColumn="0"/>
            <w:tcW w:w="2071" w:type="dxa"/>
          </w:tcPr>
          <w:p w14:paraId="573F7E1C"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b w:val="0"/>
              </w:rPr>
              <w:t>Uruguay</w:t>
            </w:r>
          </w:p>
        </w:tc>
        <w:tc>
          <w:tcPr>
            <w:tcW w:w="1542" w:type="dxa"/>
          </w:tcPr>
          <w:p w14:paraId="39D5D0BD"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8,25</w:t>
            </w:r>
          </w:p>
        </w:tc>
        <w:tc>
          <w:tcPr>
            <w:tcW w:w="1605" w:type="dxa"/>
          </w:tcPr>
          <w:p w14:paraId="5AB5B0F5"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8</w:t>
            </w:r>
          </w:p>
        </w:tc>
        <w:tc>
          <w:tcPr>
            <w:tcW w:w="1232" w:type="dxa"/>
          </w:tcPr>
          <w:p w14:paraId="0752A018"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8</w:t>
            </w:r>
          </w:p>
        </w:tc>
        <w:tc>
          <w:tcPr>
            <w:tcW w:w="1061" w:type="dxa"/>
          </w:tcPr>
          <w:p w14:paraId="07D45A37"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9</w:t>
            </w:r>
          </w:p>
        </w:tc>
      </w:tr>
      <w:tr w:rsidR="004B1D11" w:rsidRPr="004B1D11" w14:paraId="4EAF3555" w14:textId="77777777" w:rsidTr="008958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1" w:type="dxa"/>
          </w:tcPr>
          <w:p w14:paraId="20C92460"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b w:val="0"/>
              </w:rPr>
              <w:t>Gualeguaychú</w:t>
            </w:r>
          </w:p>
        </w:tc>
        <w:tc>
          <w:tcPr>
            <w:tcW w:w="1542" w:type="dxa"/>
          </w:tcPr>
          <w:p w14:paraId="5F8537FC"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3,8 y 6,8</w:t>
            </w:r>
          </w:p>
        </w:tc>
        <w:tc>
          <w:tcPr>
            <w:tcW w:w="1605" w:type="dxa"/>
          </w:tcPr>
          <w:p w14:paraId="14C1B8D5"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NA</w:t>
            </w:r>
          </w:p>
        </w:tc>
        <w:tc>
          <w:tcPr>
            <w:tcW w:w="1232" w:type="dxa"/>
          </w:tcPr>
          <w:p w14:paraId="66DC87A3"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3</w:t>
            </w:r>
          </w:p>
        </w:tc>
        <w:tc>
          <w:tcPr>
            <w:tcW w:w="1061" w:type="dxa"/>
          </w:tcPr>
          <w:p w14:paraId="354C6443"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7</w:t>
            </w:r>
          </w:p>
        </w:tc>
      </w:tr>
    </w:tbl>
    <w:p w14:paraId="329DD34C" w14:textId="77777777" w:rsidR="008958F7" w:rsidRPr="004B1D11" w:rsidRDefault="008958F7">
      <w:pPr>
        <w:rPr>
          <w:rFonts w:ascii="Source Sans Pro" w:eastAsia="Source Sans Pro" w:hAnsi="Source Sans Pro" w:cs="Source Sans Pro"/>
        </w:rPr>
      </w:pPr>
    </w:p>
    <w:p w14:paraId="6BBFE725"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Una vez definidas las cotas máximas se procedió a realizar el análisis de agua superficial para el evento de desastre de diciembre de 2015 que golpeó fuertemente las localidades de los cuatro departamentos (UNDDR, 2023)</w:t>
      </w:r>
    </w:p>
    <w:p w14:paraId="3C135CCB"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Gualeguaychú y General Belgrano se encuentran cartográficamente unidas y no presenta límite de localidad. </w:t>
      </w:r>
    </w:p>
    <w:p w14:paraId="4DDBB661" w14:textId="77777777" w:rsidR="008958F7" w:rsidRPr="004B1D11" w:rsidRDefault="005F0953">
      <w:pPr>
        <w:rPr>
          <w:rFonts w:ascii="Source Sans Pro" w:eastAsia="Source Sans Pro" w:hAnsi="Source Sans Pro" w:cs="Source Sans Pro"/>
          <w:b/>
        </w:rPr>
      </w:pPr>
      <w:r w:rsidRPr="004B1D11">
        <w:rPr>
          <w:rFonts w:ascii="Source Sans Pro" w:eastAsia="Source Sans Pro" w:hAnsi="Source Sans Pro" w:cs="Source Sans Pro"/>
          <w:b/>
        </w:rPr>
        <w:t>Resultados</w:t>
      </w:r>
    </w:p>
    <w:p w14:paraId="00F090E4" w14:textId="1FD97A98" w:rsidR="008958F7" w:rsidRPr="004B1D11" w:rsidRDefault="005F0953">
      <w:pPr>
        <w:jc w:val="both"/>
        <w:rPr>
          <w:rFonts w:ascii="Source Sans Pro" w:eastAsia="Source Sans Pro" w:hAnsi="Source Sans Pro" w:cs="Source Sans Pro"/>
        </w:rPr>
      </w:pPr>
      <w:r w:rsidRPr="004B1D11">
        <w:rPr>
          <w:rFonts w:ascii="Source Sans Pro" w:eastAsia="Source Sans Pro" w:hAnsi="Source Sans Pro" w:cs="Source Sans Pro"/>
        </w:rPr>
        <w:t xml:space="preserve">Para Tellman et al. (2021), el área de inundación total para los departamentos según la </w:t>
      </w:r>
      <w:r w:rsidRPr="004B1D11">
        <w:rPr>
          <w:rFonts w:ascii="Source Sans Pro" w:eastAsia="Source Sans Pro" w:hAnsi="Source Sans Pro" w:cs="Source Sans Pro"/>
          <w:i/>
        </w:rPr>
        <w:t>Ecuación 1</w:t>
      </w:r>
      <w:r w:rsidRPr="004B1D11">
        <w:rPr>
          <w:rFonts w:ascii="Source Sans Pro" w:eastAsia="Source Sans Pro" w:hAnsi="Source Sans Pro" w:cs="Source Sans Pro"/>
        </w:rPr>
        <w:t xml:space="preserve"> (Tabla </w:t>
      </w:r>
      <w:r w:rsidRPr="004B1D11">
        <w:rPr>
          <w:rFonts w:ascii="Source Sans Pro" w:eastAsia="Source Sans Pro" w:hAnsi="Source Sans Pro" w:cs="Source Sans Pro"/>
          <w:i/>
        </w:rPr>
        <w:t>2</w:t>
      </w:r>
      <w:r w:rsidRPr="004B1D11">
        <w:rPr>
          <w:rFonts w:ascii="Source Sans Pro" w:eastAsia="Source Sans Pro" w:hAnsi="Source Sans Pro" w:cs="Source Sans Pro"/>
        </w:rPr>
        <w:t xml:space="preserve">) cubre un total de 319,038 ha, mientras </w:t>
      </w:r>
      <w:r w:rsidRPr="004B1D11">
        <w:rPr>
          <w:rFonts w:ascii="Source Sans Pro" w:eastAsia="Source Sans Pro" w:hAnsi="Source Sans Pro" w:cs="Source Sans Pro"/>
          <w:i/>
        </w:rPr>
        <w:t>Ecuación 2</w:t>
      </w:r>
      <w:r w:rsidRPr="004B1D11">
        <w:rPr>
          <w:rFonts w:ascii="Source Sans Pro" w:eastAsia="Source Sans Pro" w:hAnsi="Source Sans Pro" w:cs="Source Sans Pro"/>
        </w:rPr>
        <w:t xml:space="preserve"> determina un total de 1.251 ha. </w:t>
      </w:r>
    </w:p>
    <w:p w14:paraId="27F332A7"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i/>
          <w:sz w:val="18"/>
          <w:szCs w:val="18"/>
        </w:rPr>
      </w:pPr>
      <w:r w:rsidRPr="004B1D11">
        <w:rPr>
          <w:rFonts w:ascii="Source Sans Pro" w:eastAsia="Source Sans Pro" w:hAnsi="Source Sans Pro" w:cs="Source Sans Pro"/>
          <w:b/>
          <w:noProof/>
          <w:sz w:val="18"/>
          <w:szCs w:val="18"/>
        </w:rPr>
        <w:drawing>
          <wp:inline distT="0" distB="0" distL="0" distR="0" wp14:anchorId="009EB8B5" wp14:editId="6420A742">
            <wp:extent cx="4572000" cy="2743200"/>
            <wp:effectExtent l="0" t="0" r="0" b="0"/>
            <wp:docPr id="2108616894" name="Gráfico 21086168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7EAF082"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sz w:val="18"/>
          <w:szCs w:val="18"/>
        </w:rPr>
      </w:pPr>
      <w:bookmarkStart w:id="5" w:name="_heading=h.tyjcwt" w:colFirst="0" w:colLast="0"/>
      <w:bookmarkEnd w:id="5"/>
      <w:r w:rsidRPr="004B1D11">
        <w:rPr>
          <w:rFonts w:ascii="Source Sans Pro" w:eastAsia="Source Sans Pro" w:hAnsi="Source Sans Pro" w:cs="Source Sans Pro"/>
          <w:b/>
          <w:sz w:val="18"/>
          <w:szCs w:val="18"/>
        </w:rPr>
        <w:t xml:space="preserve">Figura 4. Área de inundación por Departamento usando los modelos Tellman et al. (2021), Pekel et al. (2021)*.  * </w:t>
      </w:r>
      <w:r w:rsidRPr="004B1D11">
        <w:rPr>
          <w:rFonts w:ascii="Source Sans Pro" w:eastAsia="Source Sans Pro" w:hAnsi="Source Sans Pro" w:cs="Source Sans Pro"/>
          <w:sz w:val="18"/>
          <w:szCs w:val="18"/>
        </w:rPr>
        <w:t>Nótese que el cálculo del Modelo Pekel incluye otras áreas no contiguas al Río Uruguay.</w:t>
      </w:r>
    </w:p>
    <w:p w14:paraId="4B198747"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2D677B12"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lastRenderedPageBreak/>
        <w:t>Según la Figura 4, el modelo de Tellman predice un área inundada menor para Colón (Mapa 1) y Concordia (Mapa 2) en comparación con el modelo de Pekel. Sin embargo, predice un área mayor para Uruguay (Mapa 3).   Este modelo (Pekel) predice las mayores áreas de inundación para todos los departamentos tales como Concordia (Mapa 5), Uruguay (Mapa 7) y Gualeguaychú (Mapa 6), excepto para Colón donde predice un área menor (Mapa 4).</w:t>
      </w:r>
    </w:p>
    <w:p w14:paraId="75E937EE" w14:textId="68022CF2"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Las diferencias son bastante significativas, predice hasta casi el doble de área inundada para Gualeguaychú y Uruguay.  No hay datos de Tellman para Gualeguaychú para poder comparar</w:t>
      </w:r>
      <w:r w:rsidR="00F315C7" w:rsidRPr="004B1D11">
        <w:rPr>
          <w:rFonts w:ascii="Source Sans Pro" w:eastAsia="Source Sans Pro" w:hAnsi="Source Sans Pro" w:cs="Source Sans Pro"/>
        </w:rPr>
        <w:t xml:space="preserve"> con el modelo Pekel</w:t>
      </w:r>
      <w:r w:rsidRPr="004B1D11">
        <w:rPr>
          <w:rFonts w:ascii="Source Sans Pro" w:eastAsia="Source Sans Pro" w:hAnsi="Source Sans Pro" w:cs="Source Sans Pro"/>
        </w:rPr>
        <w:t xml:space="preserve">. </w:t>
      </w:r>
      <w:r w:rsidR="00F315C7" w:rsidRPr="004B1D11">
        <w:rPr>
          <w:rFonts w:ascii="Source Sans Pro" w:eastAsia="Source Sans Pro" w:hAnsi="Source Sans Pro" w:cs="Source Sans Pro"/>
        </w:rPr>
        <w:t xml:space="preserve">  Se encontró que e</w:t>
      </w:r>
      <w:r w:rsidRPr="004B1D11">
        <w:rPr>
          <w:rFonts w:ascii="Source Sans Pro" w:eastAsia="Source Sans Pro" w:hAnsi="Source Sans Pro" w:cs="Source Sans Pro"/>
        </w:rPr>
        <w:t>l área predicha por Pekel es mucho mayor que la sumatoria de los modelos (API), esto se debe a que el modelo Pekel, por sí solo, involucra áreas sobre toda la provincia, mientras que API es exclusivo para áreas próximas al Río Uruguay.  En general se observa una discrepancia importante entre las predicciones de los diferentes modelos, lo que resalta las diversas variaciones en las estimaciones de áreas inundadas utilizando múltiples aproximaciones.</w:t>
      </w:r>
    </w:p>
    <w:p w14:paraId="0F138FDD"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i/>
          <w:sz w:val="18"/>
          <w:szCs w:val="18"/>
        </w:rPr>
      </w:pPr>
      <w:bookmarkStart w:id="6" w:name="_heading=h.3dy6vkm" w:colFirst="0" w:colLast="0"/>
      <w:bookmarkEnd w:id="6"/>
      <w:r w:rsidRPr="004B1D11">
        <w:rPr>
          <w:rFonts w:ascii="Source Sans Pro" w:eastAsia="Source Sans Pro" w:hAnsi="Source Sans Pro" w:cs="Source Sans Pro"/>
          <w:b/>
          <w:sz w:val="18"/>
          <w:szCs w:val="18"/>
        </w:rPr>
        <w:t>Tabla 2. Área de inundación por Localidad usando las cotas departamentales</w:t>
      </w:r>
    </w:p>
    <w:tbl>
      <w:tblPr>
        <w:tblStyle w:val="a0"/>
        <w:tblW w:w="7510" w:type="dxa"/>
        <w:tblInd w:w="0" w:type="dxa"/>
        <w:tblBorders>
          <w:top w:val="single" w:sz="4" w:space="0" w:color="7F7F7F"/>
          <w:left w:val="single" w:sz="4" w:space="0" w:color="000000"/>
          <w:bottom w:val="single" w:sz="4" w:space="0" w:color="7F7F7F"/>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44"/>
        <w:gridCol w:w="2535"/>
        <w:gridCol w:w="1644"/>
        <w:gridCol w:w="1687"/>
      </w:tblGrid>
      <w:tr w:rsidR="004B1D11" w:rsidRPr="004B1D11" w14:paraId="140FF166" w14:textId="77777777" w:rsidTr="00FB40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tcPr>
          <w:p w14:paraId="7C82C20F"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b w:val="0"/>
              </w:rPr>
              <w:t>Departamento</w:t>
            </w:r>
          </w:p>
        </w:tc>
        <w:tc>
          <w:tcPr>
            <w:tcW w:w="2535" w:type="dxa"/>
          </w:tcPr>
          <w:p w14:paraId="3F5BC32B" w14:textId="77777777" w:rsidR="008958F7" w:rsidRPr="004B1D11" w:rsidRDefault="005F0953">
            <w:pPr>
              <w:cnfStyle w:val="100000000000" w:firstRow="1"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b w:val="0"/>
              </w:rPr>
              <w:t>Localidad</w:t>
            </w:r>
          </w:p>
        </w:tc>
        <w:tc>
          <w:tcPr>
            <w:tcW w:w="1644" w:type="dxa"/>
          </w:tcPr>
          <w:p w14:paraId="3E5B1D11" w14:textId="77777777" w:rsidR="008958F7" w:rsidRPr="004B1D11" w:rsidRDefault="005F0953">
            <w:pPr>
              <w:cnfStyle w:val="100000000000" w:firstRow="1"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b w:val="0"/>
              </w:rPr>
              <w:t>Cota departamental</w:t>
            </w:r>
          </w:p>
        </w:tc>
        <w:tc>
          <w:tcPr>
            <w:tcW w:w="1687" w:type="dxa"/>
          </w:tcPr>
          <w:p w14:paraId="4876E3DA" w14:textId="77777777" w:rsidR="008958F7" w:rsidRPr="004B1D11" w:rsidRDefault="005F0953">
            <w:pPr>
              <w:cnfStyle w:val="100000000000" w:firstRow="1"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b w:val="0"/>
              </w:rPr>
              <w:t>Área por debajo de cota (ha)</w:t>
            </w:r>
          </w:p>
        </w:tc>
      </w:tr>
      <w:tr w:rsidR="004B1D11" w:rsidRPr="004B1D11" w14:paraId="1BA9885E"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val="restart"/>
          </w:tcPr>
          <w:p w14:paraId="42AC894E" w14:textId="77777777" w:rsidR="008958F7" w:rsidRPr="004B1D11" w:rsidRDefault="005F0953">
            <w:pPr>
              <w:jc w:val="both"/>
              <w:rPr>
                <w:rFonts w:ascii="Source Sans Pro" w:eastAsia="Source Sans Pro" w:hAnsi="Source Sans Pro" w:cs="Source Sans Pro"/>
                <w:i/>
              </w:rPr>
            </w:pPr>
            <w:r w:rsidRPr="004B1D11">
              <w:rPr>
                <w:rFonts w:ascii="Source Sans Pro" w:eastAsia="Source Sans Pro" w:hAnsi="Source Sans Pro" w:cs="Source Sans Pro"/>
                <w:i/>
              </w:rPr>
              <w:t>Concordia</w:t>
            </w:r>
          </w:p>
        </w:tc>
        <w:tc>
          <w:tcPr>
            <w:tcW w:w="2535" w:type="dxa"/>
          </w:tcPr>
          <w:p w14:paraId="701C5877"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a. Colonia Ayuí</w:t>
            </w:r>
          </w:p>
        </w:tc>
        <w:tc>
          <w:tcPr>
            <w:tcW w:w="1644" w:type="dxa"/>
            <w:vMerge w:val="restart"/>
          </w:tcPr>
          <w:p w14:paraId="0A7AB2FD" w14:textId="77777777" w:rsidR="008958F7" w:rsidRPr="004B1D11" w:rsidRDefault="005F0953">
            <w:pPr>
              <w:jc w:val="cente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18</w:t>
            </w:r>
          </w:p>
        </w:tc>
        <w:tc>
          <w:tcPr>
            <w:tcW w:w="1687" w:type="dxa"/>
          </w:tcPr>
          <w:p w14:paraId="20313ACD"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0</w:t>
            </w:r>
          </w:p>
        </w:tc>
      </w:tr>
      <w:tr w:rsidR="004B1D11" w:rsidRPr="004B1D11" w14:paraId="0F7456F8"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tcPr>
          <w:p w14:paraId="51E132F9"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476D5678"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b. Concordia</w:t>
            </w:r>
          </w:p>
        </w:tc>
        <w:tc>
          <w:tcPr>
            <w:tcW w:w="1644" w:type="dxa"/>
            <w:vMerge/>
          </w:tcPr>
          <w:p w14:paraId="489B1588" w14:textId="77777777" w:rsidR="008958F7" w:rsidRPr="004B1D11" w:rsidRDefault="008958F7">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p>
        </w:tc>
        <w:tc>
          <w:tcPr>
            <w:tcW w:w="1687" w:type="dxa"/>
          </w:tcPr>
          <w:p w14:paraId="0095D761"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931</w:t>
            </w:r>
          </w:p>
        </w:tc>
      </w:tr>
      <w:tr w:rsidR="004B1D11" w:rsidRPr="004B1D11" w14:paraId="3D8AA652"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tcPr>
          <w:p w14:paraId="7D391A71"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12B86F28"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c. Las Tejas</w:t>
            </w:r>
          </w:p>
        </w:tc>
        <w:tc>
          <w:tcPr>
            <w:tcW w:w="1644" w:type="dxa"/>
            <w:vMerge/>
          </w:tcPr>
          <w:p w14:paraId="488D0468" w14:textId="77777777" w:rsidR="008958F7" w:rsidRPr="004B1D11" w:rsidRDefault="008958F7">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p>
        </w:tc>
        <w:tc>
          <w:tcPr>
            <w:tcW w:w="1687" w:type="dxa"/>
          </w:tcPr>
          <w:p w14:paraId="64EEF06E"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0</w:t>
            </w:r>
          </w:p>
        </w:tc>
      </w:tr>
      <w:tr w:rsidR="004B1D11" w:rsidRPr="004B1D11" w14:paraId="4C8FCD2F"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tcPr>
          <w:p w14:paraId="0B1B6305"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34B27861"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d. Villa Adela</w:t>
            </w:r>
          </w:p>
        </w:tc>
        <w:tc>
          <w:tcPr>
            <w:tcW w:w="1644" w:type="dxa"/>
            <w:vMerge/>
          </w:tcPr>
          <w:p w14:paraId="3DC0F89B" w14:textId="77777777" w:rsidR="008958F7" w:rsidRPr="004B1D11" w:rsidRDefault="008958F7">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p>
        </w:tc>
        <w:tc>
          <w:tcPr>
            <w:tcW w:w="1687" w:type="dxa"/>
          </w:tcPr>
          <w:p w14:paraId="2F0E2435"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0</w:t>
            </w:r>
          </w:p>
        </w:tc>
      </w:tr>
      <w:tr w:rsidR="004B1D11" w:rsidRPr="004B1D11" w14:paraId="093AA796"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tcPr>
          <w:p w14:paraId="43BF6C4D"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21AA92DA"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e. Benito Legerén</w:t>
            </w:r>
          </w:p>
        </w:tc>
        <w:tc>
          <w:tcPr>
            <w:tcW w:w="1644" w:type="dxa"/>
            <w:vMerge/>
          </w:tcPr>
          <w:p w14:paraId="27D0769C" w14:textId="77777777" w:rsidR="008958F7" w:rsidRPr="004B1D11" w:rsidRDefault="008958F7">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p>
        </w:tc>
        <w:tc>
          <w:tcPr>
            <w:tcW w:w="1687" w:type="dxa"/>
          </w:tcPr>
          <w:p w14:paraId="0363081B"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0</w:t>
            </w:r>
          </w:p>
        </w:tc>
      </w:tr>
      <w:tr w:rsidR="004B1D11" w:rsidRPr="004B1D11" w14:paraId="59B97B36"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tcPr>
          <w:p w14:paraId="2A3BECAD"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57F371C0"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f. Calabacillas</w:t>
            </w:r>
          </w:p>
        </w:tc>
        <w:tc>
          <w:tcPr>
            <w:tcW w:w="1644" w:type="dxa"/>
            <w:vMerge/>
          </w:tcPr>
          <w:p w14:paraId="315FC8D7" w14:textId="77777777" w:rsidR="008958F7" w:rsidRPr="004B1D11" w:rsidRDefault="008958F7">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p>
        </w:tc>
        <w:tc>
          <w:tcPr>
            <w:tcW w:w="1687" w:type="dxa"/>
          </w:tcPr>
          <w:p w14:paraId="42A89DC6"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0</w:t>
            </w:r>
          </w:p>
        </w:tc>
      </w:tr>
      <w:tr w:rsidR="004B1D11" w:rsidRPr="004B1D11" w14:paraId="71A196CD"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tcPr>
          <w:p w14:paraId="3BB8AEFE"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371E2116"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g. Puerto Yeruá</w:t>
            </w:r>
          </w:p>
        </w:tc>
        <w:tc>
          <w:tcPr>
            <w:tcW w:w="1644" w:type="dxa"/>
            <w:vMerge/>
          </w:tcPr>
          <w:p w14:paraId="19E82887" w14:textId="77777777" w:rsidR="008958F7" w:rsidRPr="004B1D11" w:rsidRDefault="008958F7">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p>
        </w:tc>
        <w:tc>
          <w:tcPr>
            <w:tcW w:w="1687" w:type="dxa"/>
          </w:tcPr>
          <w:p w14:paraId="7A678D38"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20</w:t>
            </w:r>
          </w:p>
        </w:tc>
      </w:tr>
      <w:tr w:rsidR="004B1D11" w:rsidRPr="004B1D11" w14:paraId="76CF419B"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tcPr>
          <w:p w14:paraId="5F23213E"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61BF4194"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h. Nueva Escocia</w:t>
            </w:r>
          </w:p>
        </w:tc>
        <w:tc>
          <w:tcPr>
            <w:tcW w:w="1644" w:type="dxa"/>
            <w:vMerge/>
          </w:tcPr>
          <w:p w14:paraId="0143C6DA" w14:textId="77777777" w:rsidR="008958F7" w:rsidRPr="004B1D11" w:rsidRDefault="008958F7">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p>
        </w:tc>
        <w:tc>
          <w:tcPr>
            <w:tcW w:w="1687" w:type="dxa"/>
          </w:tcPr>
          <w:p w14:paraId="203044E1"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2</w:t>
            </w:r>
          </w:p>
        </w:tc>
      </w:tr>
      <w:tr w:rsidR="004B1D11" w:rsidRPr="004B1D11" w14:paraId="3227D06D"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tcPr>
          <w:p w14:paraId="0814C2CC"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1F81C223"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 Embarcadero Ferrari</w:t>
            </w:r>
          </w:p>
        </w:tc>
        <w:tc>
          <w:tcPr>
            <w:tcW w:w="1644" w:type="dxa"/>
            <w:vMerge/>
          </w:tcPr>
          <w:p w14:paraId="50016AC4" w14:textId="77777777" w:rsidR="008958F7" w:rsidRPr="004B1D11" w:rsidRDefault="008958F7">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p>
        </w:tc>
        <w:tc>
          <w:tcPr>
            <w:tcW w:w="1687" w:type="dxa"/>
          </w:tcPr>
          <w:p w14:paraId="6169C7EE"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8</w:t>
            </w:r>
          </w:p>
        </w:tc>
      </w:tr>
      <w:tr w:rsidR="004B1D11" w:rsidRPr="004B1D11" w14:paraId="39C756E3"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val="restart"/>
          </w:tcPr>
          <w:p w14:paraId="3C73ACB5" w14:textId="77777777" w:rsidR="00FB404A" w:rsidRPr="004B1D11" w:rsidRDefault="00FB404A">
            <w:pPr>
              <w:jc w:val="both"/>
              <w:rPr>
                <w:rFonts w:ascii="Source Sans Pro" w:eastAsia="Source Sans Pro" w:hAnsi="Source Sans Pro" w:cs="Source Sans Pro"/>
                <w:i/>
              </w:rPr>
            </w:pPr>
            <w:r w:rsidRPr="004B1D11">
              <w:rPr>
                <w:rFonts w:ascii="Source Sans Pro" w:eastAsia="Source Sans Pro" w:hAnsi="Source Sans Pro" w:cs="Source Sans Pro"/>
                <w:i/>
              </w:rPr>
              <w:t>Colón</w:t>
            </w:r>
          </w:p>
        </w:tc>
        <w:tc>
          <w:tcPr>
            <w:tcW w:w="2535" w:type="dxa"/>
          </w:tcPr>
          <w:p w14:paraId="3CB55DB1" w14:textId="77777777" w:rsidR="00FB404A" w:rsidRPr="004B1D11" w:rsidRDefault="00FB404A">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i. Villa Elisa</w:t>
            </w:r>
          </w:p>
        </w:tc>
        <w:tc>
          <w:tcPr>
            <w:tcW w:w="1644" w:type="dxa"/>
            <w:vMerge w:val="restart"/>
          </w:tcPr>
          <w:p w14:paraId="14D82326" w14:textId="77777777" w:rsidR="00FB404A" w:rsidRPr="004B1D11" w:rsidRDefault="00FB404A">
            <w:pPr>
              <w:jc w:val="cente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12</w:t>
            </w:r>
          </w:p>
        </w:tc>
        <w:tc>
          <w:tcPr>
            <w:tcW w:w="1687" w:type="dxa"/>
          </w:tcPr>
          <w:p w14:paraId="42C92619" w14:textId="77777777" w:rsidR="00FB404A" w:rsidRPr="004B1D11" w:rsidRDefault="00FB404A">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0</w:t>
            </w:r>
          </w:p>
        </w:tc>
      </w:tr>
      <w:tr w:rsidR="004B1D11" w:rsidRPr="004B1D11" w14:paraId="25779F83"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tcPr>
          <w:p w14:paraId="2F5D1915" w14:textId="77777777" w:rsidR="00FB404A" w:rsidRPr="004B1D11" w:rsidRDefault="00FB404A">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21981392" w14:textId="77777777" w:rsidR="00FB404A" w:rsidRPr="004B1D11" w:rsidRDefault="00FB404A">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j. Liebig</w:t>
            </w:r>
          </w:p>
        </w:tc>
        <w:tc>
          <w:tcPr>
            <w:tcW w:w="1644" w:type="dxa"/>
            <w:vMerge/>
          </w:tcPr>
          <w:p w14:paraId="623392D1" w14:textId="77777777" w:rsidR="00FB404A" w:rsidRPr="004B1D11" w:rsidRDefault="00FB404A">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p>
        </w:tc>
        <w:tc>
          <w:tcPr>
            <w:tcW w:w="1687" w:type="dxa"/>
          </w:tcPr>
          <w:p w14:paraId="6F944067" w14:textId="77777777" w:rsidR="00FB404A" w:rsidRPr="004B1D11" w:rsidRDefault="00FB404A">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w:t>
            </w:r>
          </w:p>
        </w:tc>
      </w:tr>
      <w:tr w:rsidR="004B1D11" w:rsidRPr="004B1D11" w14:paraId="3DDEF21A"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tcPr>
          <w:p w14:paraId="792F343C" w14:textId="77777777" w:rsidR="00FB404A" w:rsidRPr="004B1D11" w:rsidRDefault="00FB404A">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22F3E539" w14:textId="77777777" w:rsidR="00FB404A" w:rsidRPr="004B1D11" w:rsidRDefault="00FB404A">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k. San José</w:t>
            </w:r>
          </w:p>
        </w:tc>
        <w:tc>
          <w:tcPr>
            <w:tcW w:w="1644" w:type="dxa"/>
            <w:vMerge/>
          </w:tcPr>
          <w:p w14:paraId="01AD8644" w14:textId="77777777" w:rsidR="00FB404A" w:rsidRPr="004B1D11" w:rsidRDefault="00FB404A">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p>
        </w:tc>
        <w:tc>
          <w:tcPr>
            <w:tcW w:w="1687" w:type="dxa"/>
          </w:tcPr>
          <w:p w14:paraId="790487E9" w14:textId="77777777" w:rsidR="00FB404A" w:rsidRPr="004B1D11" w:rsidRDefault="00FB404A">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0</w:t>
            </w:r>
          </w:p>
        </w:tc>
      </w:tr>
      <w:tr w:rsidR="004B1D11" w:rsidRPr="004B1D11" w14:paraId="62B81FDB"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tcPr>
          <w:p w14:paraId="2CFAB4FA" w14:textId="77777777" w:rsidR="00FB404A" w:rsidRPr="004B1D11" w:rsidRDefault="00FB404A">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28FD9305" w14:textId="77777777" w:rsidR="00FB404A" w:rsidRPr="004B1D11" w:rsidRDefault="00FB404A">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l. Colón</w:t>
            </w:r>
          </w:p>
        </w:tc>
        <w:tc>
          <w:tcPr>
            <w:tcW w:w="1644" w:type="dxa"/>
            <w:vMerge/>
          </w:tcPr>
          <w:p w14:paraId="22FDE323" w14:textId="77777777" w:rsidR="00FB404A" w:rsidRPr="004B1D11" w:rsidRDefault="00FB404A">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p>
        </w:tc>
        <w:tc>
          <w:tcPr>
            <w:tcW w:w="1687" w:type="dxa"/>
          </w:tcPr>
          <w:p w14:paraId="00FF71A9" w14:textId="77777777" w:rsidR="00FB404A" w:rsidRPr="004B1D11" w:rsidRDefault="00FB404A">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55</w:t>
            </w:r>
          </w:p>
        </w:tc>
      </w:tr>
      <w:tr w:rsidR="004B1D11" w:rsidRPr="004B1D11" w14:paraId="4975DE82"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tcPr>
          <w:p w14:paraId="4CAB0EFE" w14:textId="77777777" w:rsidR="00FB404A" w:rsidRPr="004B1D11" w:rsidRDefault="00FB404A">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596B03EF" w14:textId="77777777" w:rsidR="00FB404A" w:rsidRPr="004B1D11" w:rsidRDefault="00FB404A">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m. Colonia Hughes</w:t>
            </w:r>
          </w:p>
        </w:tc>
        <w:tc>
          <w:tcPr>
            <w:tcW w:w="1644" w:type="dxa"/>
            <w:vMerge/>
          </w:tcPr>
          <w:p w14:paraId="7982C39C" w14:textId="77777777" w:rsidR="00FB404A" w:rsidRPr="004B1D11" w:rsidRDefault="00FB404A">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p>
        </w:tc>
        <w:tc>
          <w:tcPr>
            <w:tcW w:w="1687" w:type="dxa"/>
          </w:tcPr>
          <w:p w14:paraId="28972512" w14:textId="77777777" w:rsidR="00FB404A" w:rsidRPr="004B1D11" w:rsidRDefault="00FB404A">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0</w:t>
            </w:r>
          </w:p>
        </w:tc>
      </w:tr>
      <w:tr w:rsidR="004B1D11" w:rsidRPr="004B1D11" w14:paraId="2A5AA29F"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tcPr>
          <w:p w14:paraId="6D62DBD2" w14:textId="77777777" w:rsidR="00FB404A" w:rsidRPr="004B1D11" w:rsidRDefault="00FB404A">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0497FE81" w14:textId="5ED60EE7" w:rsidR="00FB404A" w:rsidRPr="004B1D11" w:rsidRDefault="00F315C7">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 xml:space="preserve">* </w:t>
            </w:r>
            <w:r w:rsidR="00FB404A" w:rsidRPr="004B1D11">
              <w:rPr>
                <w:rFonts w:ascii="Source Sans Pro" w:eastAsia="Source Sans Pro" w:hAnsi="Source Sans Pro" w:cs="Source Sans Pro"/>
              </w:rPr>
              <w:t>n. Parque Nacional El Palmar</w:t>
            </w:r>
          </w:p>
        </w:tc>
        <w:tc>
          <w:tcPr>
            <w:tcW w:w="1644" w:type="dxa"/>
          </w:tcPr>
          <w:p w14:paraId="560B4E0A" w14:textId="4022DBD1" w:rsidR="00FB404A" w:rsidRPr="004B1D11" w:rsidRDefault="00FB404A" w:rsidP="00FB404A">
            <w:pPr>
              <w:widowControl w:val="0"/>
              <w:pBdr>
                <w:top w:val="nil"/>
                <w:left w:val="nil"/>
                <w:bottom w:val="nil"/>
                <w:right w:val="nil"/>
                <w:between w:val="nil"/>
              </w:pBdr>
              <w:spacing w:line="276" w:lineRule="auto"/>
              <w:jc w:val="cente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 xml:space="preserve">18 </w:t>
            </w:r>
          </w:p>
        </w:tc>
        <w:tc>
          <w:tcPr>
            <w:tcW w:w="1687" w:type="dxa"/>
          </w:tcPr>
          <w:p w14:paraId="0ABDB1CC" w14:textId="6AF4F504" w:rsidR="00FB404A" w:rsidRPr="004B1D11" w:rsidRDefault="00B21A7B">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968</w:t>
            </w:r>
          </w:p>
        </w:tc>
      </w:tr>
      <w:tr w:rsidR="004B1D11" w:rsidRPr="004B1D11" w14:paraId="5A05165A"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val="restart"/>
          </w:tcPr>
          <w:p w14:paraId="49E5F931" w14:textId="77777777" w:rsidR="008958F7" w:rsidRPr="004B1D11" w:rsidRDefault="005F0953">
            <w:pPr>
              <w:jc w:val="both"/>
              <w:rPr>
                <w:rFonts w:ascii="Source Sans Pro" w:eastAsia="Source Sans Pro" w:hAnsi="Source Sans Pro" w:cs="Source Sans Pro"/>
                <w:i/>
              </w:rPr>
            </w:pPr>
            <w:r w:rsidRPr="004B1D11">
              <w:rPr>
                <w:rFonts w:ascii="Source Sans Pro" w:eastAsia="Source Sans Pro" w:hAnsi="Source Sans Pro" w:cs="Source Sans Pro"/>
                <w:i/>
              </w:rPr>
              <w:t>Uruguay</w:t>
            </w:r>
          </w:p>
        </w:tc>
        <w:tc>
          <w:tcPr>
            <w:tcW w:w="2535" w:type="dxa"/>
          </w:tcPr>
          <w:p w14:paraId="1695B015" w14:textId="3C2C965D" w:rsidR="008958F7" w:rsidRPr="004B1D11" w:rsidRDefault="00FB404A">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ñ. Concepción del Uruguay</w:t>
            </w:r>
          </w:p>
        </w:tc>
        <w:tc>
          <w:tcPr>
            <w:tcW w:w="1644" w:type="dxa"/>
            <w:vMerge w:val="restart"/>
          </w:tcPr>
          <w:p w14:paraId="0790E2F5" w14:textId="77777777" w:rsidR="008958F7" w:rsidRPr="004B1D11" w:rsidRDefault="005F0953">
            <w:pPr>
              <w:jc w:val="cente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9</w:t>
            </w:r>
          </w:p>
        </w:tc>
        <w:tc>
          <w:tcPr>
            <w:tcW w:w="1687" w:type="dxa"/>
          </w:tcPr>
          <w:p w14:paraId="5C5F95DD"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194</w:t>
            </w:r>
          </w:p>
        </w:tc>
      </w:tr>
      <w:tr w:rsidR="004B1D11" w:rsidRPr="004B1D11" w14:paraId="2F800C18"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tcPr>
          <w:p w14:paraId="10375716"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3614990C"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 Puerto Campichuelo</w:t>
            </w:r>
          </w:p>
        </w:tc>
        <w:tc>
          <w:tcPr>
            <w:tcW w:w="1644" w:type="dxa"/>
            <w:vMerge/>
          </w:tcPr>
          <w:p w14:paraId="4F4021B9" w14:textId="77777777" w:rsidR="008958F7" w:rsidRPr="004B1D11" w:rsidRDefault="008958F7">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p>
        </w:tc>
        <w:tc>
          <w:tcPr>
            <w:tcW w:w="1687" w:type="dxa"/>
          </w:tcPr>
          <w:p w14:paraId="6A5A912B"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8</w:t>
            </w:r>
          </w:p>
        </w:tc>
      </w:tr>
      <w:tr w:rsidR="004B1D11" w:rsidRPr="004B1D11" w14:paraId="5DBFB41B"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val="restart"/>
          </w:tcPr>
          <w:p w14:paraId="5E5CB6A7" w14:textId="77777777" w:rsidR="008958F7" w:rsidRPr="004B1D11" w:rsidRDefault="005F0953">
            <w:pPr>
              <w:jc w:val="both"/>
              <w:rPr>
                <w:rFonts w:ascii="Source Sans Pro" w:eastAsia="Source Sans Pro" w:hAnsi="Source Sans Pro" w:cs="Source Sans Pro"/>
                <w:i/>
              </w:rPr>
            </w:pPr>
            <w:r w:rsidRPr="004B1D11">
              <w:rPr>
                <w:rFonts w:ascii="Source Sans Pro" w:eastAsia="Source Sans Pro" w:hAnsi="Source Sans Pro" w:cs="Source Sans Pro"/>
                <w:i/>
              </w:rPr>
              <w:t>Gualeguaychú</w:t>
            </w:r>
          </w:p>
          <w:p w14:paraId="25D81EE1" w14:textId="77777777" w:rsidR="008958F7" w:rsidRPr="004B1D11" w:rsidRDefault="008958F7">
            <w:pPr>
              <w:jc w:val="both"/>
              <w:rPr>
                <w:rFonts w:ascii="Source Sans Pro" w:eastAsia="Source Sans Pro" w:hAnsi="Source Sans Pro" w:cs="Source Sans Pro"/>
                <w:i/>
              </w:rPr>
            </w:pPr>
          </w:p>
        </w:tc>
        <w:tc>
          <w:tcPr>
            <w:tcW w:w="2535" w:type="dxa"/>
          </w:tcPr>
          <w:p w14:paraId="6F255B07"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 xml:space="preserve">o. Gualeguaychú - </w:t>
            </w:r>
          </w:p>
        </w:tc>
        <w:tc>
          <w:tcPr>
            <w:tcW w:w="1644" w:type="dxa"/>
            <w:vMerge w:val="restart"/>
          </w:tcPr>
          <w:p w14:paraId="07220BB7" w14:textId="77777777" w:rsidR="008958F7" w:rsidRPr="004B1D11" w:rsidRDefault="005F0953">
            <w:pPr>
              <w:jc w:val="cente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7</w:t>
            </w:r>
          </w:p>
        </w:tc>
        <w:tc>
          <w:tcPr>
            <w:tcW w:w="1687" w:type="dxa"/>
            <w:vMerge w:val="restart"/>
          </w:tcPr>
          <w:p w14:paraId="40281BCF"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857</w:t>
            </w:r>
          </w:p>
        </w:tc>
      </w:tr>
      <w:tr w:rsidR="004B1D11" w:rsidRPr="004B1D11" w14:paraId="28C697B0"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tcPr>
          <w:p w14:paraId="1E6D5CD5"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648F15DE"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p. Pueblo General Belgrano</w:t>
            </w:r>
          </w:p>
        </w:tc>
        <w:tc>
          <w:tcPr>
            <w:tcW w:w="1644" w:type="dxa"/>
            <w:vMerge/>
          </w:tcPr>
          <w:p w14:paraId="6046D238" w14:textId="77777777" w:rsidR="008958F7" w:rsidRPr="004B1D11" w:rsidRDefault="008958F7">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p>
        </w:tc>
        <w:tc>
          <w:tcPr>
            <w:tcW w:w="1687" w:type="dxa"/>
            <w:vMerge/>
          </w:tcPr>
          <w:p w14:paraId="17FB8FC1" w14:textId="77777777" w:rsidR="008958F7" w:rsidRPr="004B1D11" w:rsidRDefault="008958F7">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p>
        </w:tc>
      </w:tr>
      <w:tr w:rsidR="004B1D11" w:rsidRPr="004B1D11" w14:paraId="25A45470"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tcPr>
          <w:p w14:paraId="65B5F3BB"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10544100"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 Puerto Boca</w:t>
            </w:r>
          </w:p>
        </w:tc>
        <w:tc>
          <w:tcPr>
            <w:tcW w:w="1644" w:type="dxa"/>
            <w:vMerge/>
          </w:tcPr>
          <w:p w14:paraId="0B4E5E57" w14:textId="77777777" w:rsidR="008958F7" w:rsidRPr="004B1D11" w:rsidRDefault="008958F7">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p>
        </w:tc>
        <w:tc>
          <w:tcPr>
            <w:tcW w:w="1687" w:type="dxa"/>
          </w:tcPr>
          <w:p w14:paraId="5885F211"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7</w:t>
            </w:r>
          </w:p>
        </w:tc>
      </w:tr>
      <w:tr w:rsidR="004B1D11" w:rsidRPr="004B1D11" w14:paraId="7786642F" w14:textId="77777777" w:rsidTr="00FB40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4" w:type="dxa"/>
            <w:vMerge/>
          </w:tcPr>
          <w:p w14:paraId="2C48137F"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6420BB90" w14:textId="77777777" w:rsidR="008958F7" w:rsidRPr="004B1D11" w:rsidRDefault="005F0953">
            <w:pPr>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 Arroyo Ñancay</w:t>
            </w:r>
          </w:p>
        </w:tc>
        <w:tc>
          <w:tcPr>
            <w:tcW w:w="1644" w:type="dxa"/>
            <w:vMerge/>
          </w:tcPr>
          <w:p w14:paraId="56C867A4" w14:textId="77777777" w:rsidR="008958F7" w:rsidRPr="004B1D11" w:rsidRDefault="008958F7">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p>
        </w:tc>
        <w:tc>
          <w:tcPr>
            <w:tcW w:w="1687" w:type="dxa"/>
          </w:tcPr>
          <w:p w14:paraId="613CE0BC"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11</w:t>
            </w:r>
          </w:p>
        </w:tc>
      </w:tr>
      <w:tr w:rsidR="004B1D11" w:rsidRPr="004B1D11" w14:paraId="1A77D5BC" w14:textId="77777777" w:rsidTr="00FB404A">
        <w:tc>
          <w:tcPr>
            <w:cnfStyle w:val="001000000000" w:firstRow="0" w:lastRow="0" w:firstColumn="1" w:lastColumn="0" w:oddVBand="0" w:evenVBand="0" w:oddHBand="0" w:evenHBand="0" w:firstRowFirstColumn="0" w:firstRowLastColumn="0" w:lastRowFirstColumn="0" w:lastRowLastColumn="0"/>
            <w:tcW w:w="1644" w:type="dxa"/>
            <w:vMerge/>
          </w:tcPr>
          <w:p w14:paraId="79BE61BF" w14:textId="77777777" w:rsidR="008958F7" w:rsidRPr="004B1D11" w:rsidRDefault="008958F7">
            <w:pPr>
              <w:widowControl w:val="0"/>
              <w:pBdr>
                <w:top w:val="nil"/>
                <w:left w:val="nil"/>
                <w:bottom w:val="nil"/>
                <w:right w:val="nil"/>
                <w:between w:val="nil"/>
              </w:pBdr>
              <w:spacing w:line="276" w:lineRule="auto"/>
              <w:rPr>
                <w:rFonts w:ascii="Source Sans Pro" w:eastAsia="Source Sans Pro" w:hAnsi="Source Sans Pro" w:cs="Source Sans Pro"/>
              </w:rPr>
            </w:pPr>
          </w:p>
        </w:tc>
        <w:tc>
          <w:tcPr>
            <w:tcW w:w="2535" w:type="dxa"/>
          </w:tcPr>
          <w:p w14:paraId="17B8D433" w14:textId="77777777" w:rsidR="008958F7" w:rsidRPr="004B1D11" w:rsidRDefault="005F0953">
            <w:pPr>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 La Peregrina</w:t>
            </w:r>
          </w:p>
        </w:tc>
        <w:tc>
          <w:tcPr>
            <w:tcW w:w="1644" w:type="dxa"/>
            <w:vMerge/>
          </w:tcPr>
          <w:p w14:paraId="28B16D17" w14:textId="77777777" w:rsidR="008958F7" w:rsidRPr="004B1D11" w:rsidRDefault="008958F7">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p>
        </w:tc>
        <w:tc>
          <w:tcPr>
            <w:tcW w:w="1687" w:type="dxa"/>
          </w:tcPr>
          <w:p w14:paraId="39B2C68D"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28</w:t>
            </w:r>
          </w:p>
        </w:tc>
      </w:tr>
    </w:tbl>
    <w:p w14:paraId="024F3DDB" w14:textId="596502EC"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lastRenderedPageBreak/>
        <w:t>* Localidades</w:t>
      </w:r>
      <w:r w:rsidR="00F315C7" w:rsidRPr="004B1D11">
        <w:rPr>
          <w:rFonts w:ascii="Source Sans Pro" w:eastAsia="Source Sans Pro" w:hAnsi="Source Sans Pro" w:cs="Source Sans Pro"/>
        </w:rPr>
        <w:t xml:space="preserve"> y Parque Nacional El Palmar</w:t>
      </w:r>
      <w:r w:rsidRPr="004B1D11">
        <w:rPr>
          <w:rFonts w:ascii="Source Sans Pro" w:eastAsia="Source Sans Pro" w:hAnsi="Source Sans Pro" w:cs="Source Sans Pro"/>
        </w:rPr>
        <w:t xml:space="preserve"> no incluidas en l</w:t>
      </w:r>
      <w:r w:rsidR="00F315C7" w:rsidRPr="004B1D11">
        <w:rPr>
          <w:rFonts w:ascii="Source Sans Pro" w:eastAsia="Source Sans Pro" w:hAnsi="Source Sans Pro" w:cs="Source Sans Pro"/>
        </w:rPr>
        <w:t>as obligaciones de la</w:t>
      </w:r>
      <w:r w:rsidRPr="004B1D11">
        <w:rPr>
          <w:rFonts w:ascii="Source Sans Pro" w:eastAsia="Source Sans Pro" w:hAnsi="Source Sans Pro" w:cs="Source Sans Pro"/>
        </w:rPr>
        <w:t xml:space="preserve"> consultoría pero que fueron detectadas en área inundable por cota de inundación departamental</w:t>
      </w:r>
      <w:r w:rsidR="00F315C7" w:rsidRPr="004B1D11">
        <w:rPr>
          <w:rFonts w:ascii="Source Sans Pro" w:eastAsia="Source Sans Pro" w:hAnsi="Source Sans Pro" w:cs="Source Sans Pro"/>
        </w:rPr>
        <w:t xml:space="preserve"> para Localidades y cota regional (18m) para el PN El Palmar.</w:t>
      </w:r>
    </w:p>
    <w:p w14:paraId="3504A2A5" w14:textId="4CA208DB"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Según la Tabla 2, en el departamento de Concordia, la mayoría de las localidades no presentan áreas inundadas por debajo de la cota departamental, excepto Concordia con 931 ha, Puerto Yeruá con 20 ha y *Embarcadero Ferrari con 8 ha.  Para Colón, sólo Colón y Liebig presentan áreas inundables menores a 55 ha y 1 ha respectivamente. El resto de las localidades no tienen áreas por debajo de la cota.  En Uruguay, Concepción del Uruguay tiene un área importante inundable de 194 ha, mientras que *Puerto Campichuelo tiene 8 ha.  Finalmente, en Gualeguaychú, la ciudad de Gualeguaychú presenta un área inundable muy significativa de 857 ha. Las otras localidades del mismo departamento como Pueblo General Belgrano, *Puerto Boca, *Arroyo Ñancay y *La Peregrina también presentan áreas inundables, aunque menores.</w:t>
      </w:r>
      <w:r w:rsidR="00B21A7B" w:rsidRPr="004B1D11">
        <w:rPr>
          <w:rFonts w:ascii="Source Sans Pro" w:eastAsia="Source Sans Pro" w:hAnsi="Source Sans Pro" w:cs="Source Sans Pro"/>
        </w:rPr>
        <w:t xml:space="preserve">  Finalmente, el Parque Nacional de El Palmar (Colón) presenta un total de 968 ha en área inundable.</w:t>
      </w:r>
    </w:p>
    <w:p w14:paraId="0DE0749B" w14:textId="47F8EEEB"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En general, se observa que hay pocas localidades con áreas inundables por debajo de la cota departamental. Las más afectadas son las ciudades principales como Concordia, Colón y Gualeguaychú</w:t>
      </w:r>
      <w:r w:rsidR="00E45F02" w:rsidRPr="004B1D11">
        <w:rPr>
          <w:rFonts w:ascii="Source Sans Pro" w:eastAsia="Source Sans Pro" w:hAnsi="Source Sans Pro" w:cs="Source Sans Pro"/>
        </w:rPr>
        <w:t xml:space="preserve"> y el PN El Palmar.</w:t>
      </w:r>
    </w:p>
    <w:p w14:paraId="76E60E8F"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i/>
          <w:sz w:val="18"/>
          <w:szCs w:val="18"/>
        </w:rPr>
      </w:pPr>
      <w:bookmarkStart w:id="7" w:name="_heading=h.1t3h5sf" w:colFirst="0" w:colLast="0"/>
      <w:bookmarkEnd w:id="7"/>
      <w:r w:rsidRPr="004B1D11">
        <w:rPr>
          <w:rFonts w:ascii="Source Sans Pro" w:eastAsia="Source Sans Pro" w:hAnsi="Source Sans Pro" w:cs="Source Sans Pro"/>
          <w:b/>
          <w:sz w:val="18"/>
          <w:szCs w:val="18"/>
        </w:rPr>
        <w:t>Tabla 3. Área inundable regional por total de localidades afectables y por cota regional</w:t>
      </w:r>
    </w:p>
    <w:tbl>
      <w:tblPr>
        <w:tblStyle w:val="a1"/>
        <w:tblW w:w="7511" w:type="dxa"/>
        <w:tblInd w:w="0" w:type="dxa"/>
        <w:tblBorders>
          <w:top w:val="single" w:sz="4" w:space="0" w:color="7F7F7F"/>
          <w:left w:val="single" w:sz="4" w:space="0" w:color="000000"/>
          <w:bottom w:val="single" w:sz="4" w:space="0" w:color="7F7F7F"/>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29"/>
        <w:gridCol w:w="2552"/>
        <w:gridCol w:w="2530"/>
      </w:tblGrid>
      <w:tr w:rsidR="004B1D11" w:rsidRPr="004B1D11" w14:paraId="0A35CFB2" w14:textId="77777777" w:rsidTr="008958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9" w:type="dxa"/>
          </w:tcPr>
          <w:p w14:paraId="72C98340" w14:textId="77777777" w:rsidR="008958F7" w:rsidRPr="004B1D11" w:rsidRDefault="008958F7">
            <w:pPr>
              <w:rPr>
                <w:rFonts w:ascii="Source Sans Pro" w:eastAsia="Source Sans Pro" w:hAnsi="Source Sans Pro" w:cs="Source Sans Pro"/>
              </w:rPr>
            </w:pPr>
          </w:p>
        </w:tc>
        <w:tc>
          <w:tcPr>
            <w:tcW w:w="2552" w:type="dxa"/>
          </w:tcPr>
          <w:p w14:paraId="37BD1F78" w14:textId="33F2796D" w:rsidR="008958F7" w:rsidRPr="004B1D11" w:rsidRDefault="005F0953">
            <w:pPr>
              <w:cnfStyle w:val="100000000000" w:firstRow="1"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Área inundable regional total localidades afectables (ha)</w:t>
            </w:r>
            <w:r w:rsidR="00E45F02" w:rsidRPr="004B1D11">
              <w:rPr>
                <w:rFonts w:ascii="Source Sans Pro" w:eastAsia="Source Sans Pro" w:hAnsi="Source Sans Pro" w:cs="Source Sans Pro"/>
              </w:rPr>
              <w:t>*</w:t>
            </w:r>
          </w:p>
        </w:tc>
        <w:tc>
          <w:tcPr>
            <w:tcW w:w="2530" w:type="dxa"/>
          </w:tcPr>
          <w:p w14:paraId="6D6D03C0" w14:textId="449127C8" w:rsidR="008958F7" w:rsidRPr="004B1D11" w:rsidRDefault="005F0953">
            <w:pPr>
              <w:cnfStyle w:val="100000000000" w:firstRow="1"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Área inundable regional (ha)</w:t>
            </w:r>
          </w:p>
        </w:tc>
      </w:tr>
      <w:tr w:rsidR="004B1D11" w:rsidRPr="004B1D11" w14:paraId="0C179613" w14:textId="77777777" w:rsidTr="008958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9" w:type="dxa"/>
          </w:tcPr>
          <w:p w14:paraId="4D6D855A"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Cota 18</w:t>
            </w:r>
          </w:p>
        </w:tc>
        <w:tc>
          <w:tcPr>
            <w:tcW w:w="2552" w:type="dxa"/>
          </w:tcPr>
          <w:p w14:paraId="7DA1B58B"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6601</w:t>
            </w:r>
          </w:p>
        </w:tc>
        <w:tc>
          <w:tcPr>
            <w:tcW w:w="2530" w:type="dxa"/>
          </w:tcPr>
          <w:p w14:paraId="3FBE8C42"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271202</w:t>
            </w:r>
          </w:p>
        </w:tc>
      </w:tr>
      <w:tr w:rsidR="004B1D11" w:rsidRPr="004B1D11" w14:paraId="6DB4C8BF" w14:textId="77777777" w:rsidTr="008958F7">
        <w:tc>
          <w:tcPr>
            <w:cnfStyle w:val="001000000000" w:firstRow="0" w:lastRow="0" w:firstColumn="1" w:lastColumn="0" w:oddVBand="0" w:evenVBand="0" w:oddHBand="0" w:evenHBand="0" w:firstRowFirstColumn="0" w:firstRowLastColumn="0" w:lastRowFirstColumn="0" w:lastRowLastColumn="0"/>
            <w:tcW w:w="2429" w:type="dxa"/>
          </w:tcPr>
          <w:p w14:paraId="7FE4FF0F"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Cota 12</w:t>
            </w:r>
          </w:p>
        </w:tc>
        <w:tc>
          <w:tcPr>
            <w:tcW w:w="2552" w:type="dxa"/>
          </w:tcPr>
          <w:p w14:paraId="0F19F071"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2814</w:t>
            </w:r>
          </w:p>
        </w:tc>
        <w:tc>
          <w:tcPr>
            <w:tcW w:w="2530" w:type="dxa"/>
          </w:tcPr>
          <w:p w14:paraId="7129DA9E"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NA</w:t>
            </w:r>
          </w:p>
        </w:tc>
      </w:tr>
      <w:tr w:rsidR="004B1D11" w:rsidRPr="004B1D11" w14:paraId="36744454" w14:textId="77777777" w:rsidTr="008958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9" w:type="dxa"/>
          </w:tcPr>
          <w:p w14:paraId="4B863036"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Cota 9</w:t>
            </w:r>
          </w:p>
        </w:tc>
        <w:tc>
          <w:tcPr>
            <w:tcW w:w="2552" w:type="dxa"/>
          </w:tcPr>
          <w:p w14:paraId="75F465F3"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1631</w:t>
            </w:r>
          </w:p>
        </w:tc>
        <w:tc>
          <w:tcPr>
            <w:tcW w:w="2530" w:type="dxa"/>
          </w:tcPr>
          <w:p w14:paraId="3BF80F6B"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NA</w:t>
            </w:r>
          </w:p>
        </w:tc>
      </w:tr>
      <w:tr w:rsidR="004B1D11" w:rsidRPr="004B1D11" w14:paraId="03C754AE" w14:textId="77777777" w:rsidTr="008958F7">
        <w:tc>
          <w:tcPr>
            <w:cnfStyle w:val="001000000000" w:firstRow="0" w:lastRow="0" w:firstColumn="1" w:lastColumn="0" w:oddVBand="0" w:evenVBand="0" w:oddHBand="0" w:evenHBand="0" w:firstRowFirstColumn="0" w:firstRowLastColumn="0" w:lastRowFirstColumn="0" w:lastRowLastColumn="0"/>
            <w:tcW w:w="2429" w:type="dxa"/>
          </w:tcPr>
          <w:p w14:paraId="256E16CB"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Cota 7</w:t>
            </w:r>
          </w:p>
        </w:tc>
        <w:tc>
          <w:tcPr>
            <w:tcW w:w="2552" w:type="dxa"/>
          </w:tcPr>
          <w:p w14:paraId="0B6D4024"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966</w:t>
            </w:r>
          </w:p>
        </w:tc>
        <w:tc>
          <w:tcPr>
            <w:tcW w:w="2530" w:type="dxa"/>
          </w:tcPr>
          <w:p w14:paraId="7942691C"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NA</w:t>
            </w:r>
          </w:p>
        </w:tc>
      </w:tr>
    </w:tbl>
    <w:p w14:paraId="11085448" w14:textId="14C6102E" w:rsidR="008958F7" w:rsidRPr="004B1D11" w:rsidRDefault="00E45F02">
      <w:pPr>
        <w:rPr>
          <w:rFonts w:ascii="Source Sans Pro" w:eastAsia="Source Sans Pro" w:hAnsi="Source Sans Pro" w:cs="Source Sans Pro"/>
        </w:rPr>
      </w:pPr>
      <w:r w:rsidRPr="004B1D11">
        <w:rPr>
          <w:rFonts w:ascii="Source Sans Pro" w:eastAsia="Source Sans Pro" w:hAnsi="Source Sans Pro" w:cs="Source Sans Pro"/>
        </w:rPr>
        <w:t xml:space="preserve">* No incluye API PN El Palmar. </w:t>
      </w:r>
    </w:p>
    <w:p w14:paraId="0796030F"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Según la Tabla 3, utilizando la cota regional de 18m, el área total inundable considerando todas las localidades afectadas es de 6601 ha.  Para el área inundable regional total, esto aumenta drásticamente a 271.202 ha (Mapa 8).  Al disminuir la cota regional a 12m, 9m y 7m, el área inundable total de localidades afectadas se reduce a 2814 ha, 1631 ha y 966 ha respectivamente.   </w:t>
      </w:r>
    </w:p>
    <w:p w14:paraId="21001312" w14:textId="2CE5A324" w:rsidR="008958F7" w:rsidRDefault="005F0953">
      <w:pPr>
        <w:rPr>
          <w:rFonts w:ascii="Source Sans Pro" w:eastAsia="Source Sans Pro" w:hAnsi="Source Sans Pro" w:cs="Source Sans Pro"/>
        </w:rPr>
      </w:pPr>
      <w:r w:rsidRPr="004B1D11">
        <w:rPr>
          <w:rFonts w:ascii="Source Sans Pro" w:eastAsia="Source Sans Pro" w:hAnsi="Source Sans Pro" w:cs="Source Sans Pro"/>
        </w:rPr>
        <w:t>Se observa que el área inundable es muy sensible a la cota regional utilizada. Mientras más baja es la cota, menor es el área inundable de las localidades afectadas.  El área regional total inundable es significativamente mayor que considerando solo localidades para la cota de 18m. Esto sugiere el mayor potencial de inundación de áreas departamentales por debajo de esta cota.</w:t>
      </w:r>
      <w:r w:rsidR="00FC10A9" w:rsidRPr="004B1D11">
        <w:rPr>
          <w:rFonts w:ascii="Source Sans Pro" w:eastAsia="Source Sans Pro" w:hAnsi="Source Sans Pro" w:cs="Source Sans Pro"/>
        </w:rPr>
        <w:t xml:space="preserve">  Ejemplo de ello es que el PN El Palmar presenta áreas potencialmente inundables solamente cuando se analiza con la cota regional (18 m)</w:t>
      </w:r>
    </w:p>
    <w:p w14:paraId="575EAFE0" w14:textId="77777777" w:rsidR="003B5528" w:rsidRPr="004B1D11" w:rsidRDefault="003B5528">
      <w:pPr>
        <w:rPr>
          <w:rFonts w:ascii="Source Sans Pro" w:eastAsia="Source Sans Pro" w:hAnsi="Source Sans Pro" w:cs="Source Sans Pro"/>
        </w:rPr>
      </w:pPr>
    </w:p>
    <w:p w14:paraId="1AE84AFF"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8" w:name="_heading=h.4d34og8" w:colFirst="0" w:colLast="0"/>
      <w:bookmarkEnd w:id="8"/>
      <w:r w:rsidRPr="004B1D11">
        <w:rPr>
          <w:rFonts w:ascii="Source Sans Pro" w:eastAsia="Source Sans Pro" w:hAnsi="Source Sans Pro" w:cs="Source Sans Pro"/>
          <w:b/>
          <w:sz w:val="18"/>
          <w:szCs w:val="18"/>
        </w:rPr>
        <w:lastRenderedPageBreak/>
        <w:t>Tabla 4. Área inundable departamental total por cota máxima inundable de acuerdo con cada departamento</w:t>
      </w:r>
    </w:p>
    <w:tbl>
      <w:tblPr>
        <w:tblStyle w:val="a2"/>
        <w:tblW w:w="7511" w:type="dxa"/>
        <w:tblInd w:w="0" w:type="dxa"/>
        <w:tblBorders>
          <w:top w:val="single" w:sz="4" w:space="0" w:color="7F7F7F"/>
          <w:left w:val="single" w:sz="4" w:space="0" w:color="000000"/>
          <w:bottom w:val="single" w:sz="4" w:space="0" w:color="7F7F7F"/>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30"/>
        <w:gridCol w:w="2433"/>
        <w:gridCol w:w="2548"/>
      </w:tblGrid>
      <w:tr w:rsidR="004B1D11" w:rsidRPr="004B1D11" w14:paraId="5E811400" w14:textId="77777777" w:rsidTr="008958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0" w:type="dxa"/>
          </w:tcPr>
          <w:p w14:paraId="5C91C79E" w14:textId="77777777" w:rsidR="008958F7" w:rsidRPr="004B1D11" w:rsidRDefault="008958F7">
            <w:pPr>
              <w:rPr>
                <w:rFonts w:ascii="Source Sans Pro" w:eastAsia="Source Sans Pro" w:hAnsi="Source Sans Pro" w:cs="Source Sans Pro"/>
              </w:rPr>
            </w:pPr>
          </w:p>
        </w:tc>
        <w:tc>
          <w:tcPr>
            <w:tcW w:w="2433" w:type="dxa"/>
          </w:tcPr>
          <w:p w14:paraId="5FA3CDF7" w14:textId="77777777" w:rsidR="008958F7" w:rsidRPr="004B1D11" w:rsidRDefault="005F0953">
            <w:pPr>
              <w:cnfStyle w:val="100000000000" w:firstRow="1"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Cota máxima inundable</w:t>
            </w:r>
          </w:p>
        </w:tc>
        <w:tc>
          <w:tcPr>
            <w:tcW w:w="2548" w:type="dxa"/>
          </w:tcPr>
          <w:p w14:paraId="2A216735" w14:textId="77777777" w:rsidR="008958F7" w:rsidRPr="004B1D11" w:rsidRDefault="005F0953">
            <w:pPr>
              <w:cnfStyle w:val="100000000000" w:firstRow="1"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Área inundable departamental total</w:t>
            </w:r>
          </w:p>
        </w:tc>
      </w:tr>
      <w:tr w:rsidR="004B1D11" w:rsidRPr="004B1D11" w14:paraId="0BB65767" w14:textId="77777777" w:rsidTr="008958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0" w:type="dxa"/>
          </w:tcPr>
          <w:p w14:paraId="18E9233D"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Concordia </w:t>
            </w:r>
          </w:p>
        </w:tc>
        <w:tc>
          <w:tcPr>
            <w:tcW w:w="2433" w:type="dxa"/>
          </w:tcPr>
          <w:p w14:paraId="42F98977"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18</w:t>
            </w:r>
          </w:p>
        </w:tc>
        <w:tc>
          <w:tcPr>
            <w:tcW w:w="2548" w:type="dxa"/>
          </w:tcPr>
          <w:p w14:paraId="7A1B7DCF"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4410</w:t>
            </w:r>
          </w:p>
        </w:tc>
      </w:tr>
      <w:tr w:rsidR="004B1D11" w:rsidRPr="004B1D11" w14:paraId="4C335B3F" w14:textId="77777777" w:rsidTr="008958F7">
        <w:tc>
          <w:tcPr>
            <w:cnfStyle w:val="001000000000" w:firstRow="0" w:lastRow="0" w:firstColumn="1" w:lastColumn="0" w:oddVBand="0" w:evenVBand="0" w:oddHBand="0" w:evenHBand="0" w:firstRowFirstColumn="0" w:firstRowLastColumn="0" w:lastRowFirstColumn="0" w:lastRowLastColumn="0"/>
            <w:tcW w:w="2530" w:type="dxa"/>
          </w:tcPr>
          <w:p w14:paraId="6D43BECA"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Colón</w:t>
            </w:r>
          </w:p>
        </w:tc>
        <w:tc>
          <w:tcPr>
            <w:tcW w:w="2433" w:type="dxa"/>
          </w:tcPr>
          <w:p w14:paraId="5AFB4A4F"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12</w:t>
            </w:r>
          </w:p>
        </w:tc>
        <w:tc>
          <w:tcPr>
            <w:tcW w:w="2548" w:type="dxa"/>
          </w:tcPr>
          <w:p w14:paraId="755EAD82"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3833</w:t>
            </w:r>
          </w:p>
        </w:tc>
      </w:tr>
      <w:tr w:rsidR="004B1D11" w:rsidRPr="004B1D11" w14:paraId="73B9AD7C" w14:textId="77777777" w:rsidTr="008958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0" w:type="dxa"/>
          </w:tcPr>
          <w:p w14:paraId="69406603"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Uruguay</w:t>
            </w:r>
          </w:p>
        </w:tc>
        <w:tc>
          <w:tcPr>
            <w:tcW w:w="2433" w:type="dxa"/>
          </w:tcPr>
          <w:p w14:paraId="66967108"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9</w:t>
            </w:r>
          </w:p>
        </w:tc>
        <w:tc>
          <w:tcPr>
            <w:tcW w:w="2548" w:type="dxa"/>
          </w:tcPr>
          <w:p w14:paraId="347B27FC"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14636</w:t>
            </w:r>
          </w:p>
        </w:tc>
      </w:tr>
      <w:tr w:rsidR="004B1D11" w:rsidRPr="004B1D11" w14:paraId="033920F3" w14:textId="77777777" w:rsidTr="008958F7">
        <w:tc>
          <w:tcPr>
            <w:cnfStyle w:val="001000000000" w:firstRow="0" w:lastRow="0" w:firstColumn="1" w:lastColumn="0" w:oddVBand="0" w:evenVBand="0" w:oddHBand="0" w:evenHBand="0" w:firstRowFirstColumn="0" w:firstRowLastColumn="0" w:lastRowFirstColumn="0" w:lastRowLastColumn="0"/>
            <w:tcW w:w="2530" w:type="dxa"/>
          </w:tcPr>
          <w:p w14:paraId="35415E11"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Gualeguaychú</w:t>
            </w:r>
          </w:p>
        </w:tc>
        <w:tc>
          <w:tcPr>
            <w:tcW w:w="2433" w:type="dxa"/>
          </w:tcPr>
          <w:p w14:paraId="27C27AEF"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7</w:t>
            </w:r>
          </w:p>
        </w:tc>
        <w:tc>
          <w:tcPr>
            <w:tcW w:w="2548" w:type="dxa"/>
          </w:tcPr>
          <w:p w14:paraId="6AF2E49C" w14:textId="77777777" w:rsidR="008958F7" w:rsidRPr="004B1D11" w:rsidRDefault="005F0953">
            <w:pPr>
              <w:jc w:val="right"/>
              <w:cnfStyle w:val="000000000000" w:firstRow="0" w:lastRow="0" w:firstColumn="0" w:lastColumn="0" w:oddVBand="0" w:evenVBand="0" w:oddHBand="0"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72243</w:t>
            </w:r>
          </w:p>
        </w:tc>
      </w:tr>
      <w:tr w:rsidR="004B1D11" w:rsidRPr="004B1D11" w14:paraId="2D356EEF" w14:textId="77777777" w:rsidTr="008958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3" w:type="dxa"/>
            <w:gridSpan w:val="2"/>
          </w:tcPr>
          <w:p w14:paraId="41B1A986" w14:textId="77777777" w:rsidR="008958F7" w:rsidRPr="004B1D11" w:rsidRDefault="005F0953">
            <w:pPr>
              <w:jc w:val="right"/>
              <w:rPr>
                <w:rFonts w:ascii="Source Sans Pro" w:eastAsia="Source Sans Pro" w:hAnsi="Source Sans Pro" w:cs="Source Sans Pro"/>
                <w:u w:val="single"/>
              </w:rPr>
            </w:pPr>
            <w:r w:rsidRPr="004B1D11">
              <w:rPr>
                <w:rFonts w:ascii="Source Sans Pro" w:eastAsia="Source Sans Pro" w:hAnsi="Source Sans Pro" w:cs="Source Sans Pro"/>
                <w:u w:val="single"/>
              </w:rPr>
              <w:t>Total</w:t>
            </w:r>
          </w:p>
        </w:tc>
        <w:tc>
          <w:tcPr>
            <w:tcW w:w="2548" w:type="dxa"/>
          </w:tcPr>
          <w:p w14:paraId="57C149B4" w14:textId="77777777" w:rsidR="008958F7" w:rsidRPr="004B1D11" w:rsidRDefault="005F0953">
            <w:pPr>
              <w:jc w:val="right"/>
              <w:cnfStyle w:val="000000100000" w:firstRow="0" w:lastRow="0" w:firstColumn="0" w:lastColumn="0" w:oddVBand="0" w:evenVBand="0" w:oddHBand="1" w:evenHBand="0" w:firstRowFirstColumn="0" w:firstRowLastColumn="0" w:lastRowFirstColumn="0" w:lastRowLastColumn="0"/>
              <w:rPr>
                <w:rFonts w:ascii="Source Sans Pro" w:eastAsia="Source Sans Pro" w:hAnsi="Source Sans Pro" w:cs="Source Sans Pro"/>
              </w:rPr>
            </w:pPr>
            <w:r w:rsidRPr="004B1D11">
              <w:rPr>
                <w:rFonts w:ascii="Source Sans Pro" w:eastAsia="Source Sans Pro" w:hAnsi="Source Sans Pro" w:cs="Source Sans Pro"/>
              </w:rPr>
              <w:t>95122</w:t>
            </w:r>
          </w:p>
        </w:tc>
      </w:tr>
    </w:tbl>
    <w:p w14:paraId="75ED99EB" w14:textId="77777777" w:rsidR="008958F7" w:rsidRPr="004B1D11" w:rsidRDefault="008958F7">
      <w:pPr>
        <w:rPr>
          <w:rFonts w:ascii="Source Sans Pro" w:eastAsia="Source Sans Pro" w:hAnsi="Source Sans Pro" w:cs="Source Sans Pro"/>
        </w:rPr>
      </w:pPr>
    </w:p>
    <w:p w14:paraId="3736B712" w14:textId="381081CA"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Según la Tabla 4, en Concordia, con una cota máxima de 18m, el área total inundable es de 4410 ha (Mapa 9).  En Colón, con una cota de 12m, el área total es de 3833 ha (Mapa 10)</w:t>
      </w:r>
      <w:r w:rsidR="00E05109" w:rsidRPr="004B1D11">
        <w:rPr>
          <w:rFonts w:ascii="Source Sans Pro" w:eastAsia="Source Sans Pro" w:hAnsi="Source Sans Pro" w:cs="Source Sans Pro"/>
        </w:rPr>
        <w:t xml:space="preserve"> siendo del Parque Nacional El Palmar </w:t>
      </w:r>
      <w:r w:rsidR="006355B4" w:rsidRPr="004B1D11">
        <w:rPr>
          <w:rFonts w:ascii="Source Sans Pro" w:eastAsia="Source Sans Pro" w:hAnsi="Source Sans Pro" w:cs="Source Sans Pro"/>
        </w:rPr>
        <w:t>la porción correspondiente a</w:t>
      </w:r>
      <w:r w:rsidR="00E05109" w:rsidRPr="004B1D11">
        <w:rPr>
          <w:rFonts w:ascii="Source Sans Pro" w:eastAsia="Source Sans Pro" w:hAnsi="Source Sans Pro" w:cs="Source Sans Pro"/>
        </w:rPr>
        <w:t xml:space="preserve">  967 ha</w:t>
      </w:r>
      <w:r w:rsidR="00F93E35" w:rsidRPr="004B1D11">
        <w:rPr>
          <w:rFonts w:ascii="Source Sans Pro" w:eastAsia="Source Sans Pro" w:hAnsi="Source Sans Pro" w:cs="Source Sans Pro"/>
        </w:rPr>
        <w:t xml:space="preserve"> (Mapa 10a)</w:t>
      </w:r>
      <w:r w:rsidRPr="004B1D11">
        <w:rPr>
          <w:rFonts w:ascii="Source Sans Pro" w:eastAsia="Source Sans Pro" w:hAnsi="Source Sans Pro" w:cs="Source Sans Pro"/>
        </w:rPr>
        <w:t>.  En Uruguay, con una cota de 9m, el área total inundable es de 14.636 ha (Mapa 11).  Finalmente, Gualeguaychú presenta la mayor área inundable total con 72.243 ha para una cota máxima de 7m (Mapa 12).  Sumando los totales de los 4 departamentos, el área inundable regional es de 95.122 ha.</w:t>
      </w:r>
      <w:r w:rsidR="00E05109" w:rsidRPr="004B1D11">
        <w:rPr>
          <w:rFonts w:ascii="Source Sans Pro" w:eastAsia="Source Sans Pro" w:hAnsi="Source Sans Pro" w:cs="Source Sans Pro"/>
        </w:rPr>
        <w:t xml:space="preserve">  </w:t>
      </w:r>
    </w:p>
    <w:p w14:paraId="4919FA31" w14:textId="4F59D5B4" w:rsidR="008958F7" w:rsidRDefault="005F0953">
      <w:pPr>
        <w:rPr>
          <w:rFonts w:ascii="Source Sans Pro" w:eastAsia="Source Sans Pro" w:hAnsi="Source Sans Pro" w:cs="Source Sans Pro"/>
        </w:rPr>
      </w:pPr>
      <w:r w:rsidRPr="004B1D11">
        <w:rPr>
          <w:rFonts w:ascii="Source Sans Pro" w:eastAsia="Source Sans Pro" w:hAnsi="Source Sans Pro" w:cs="Source Sans Pro"/>
        </w:rPr>
        <w:t>Se observa que Gualeguaychú, con una cota máxima menor, domina en términos de área total inundable. Le siguen Uruguay, Concordia y Colón.  Las diferencias se explican por las distintas cotas máximas utilizadas en cada departamento, que reflejan las diferencias topográficas/geomorfológicas entre ellos.    Los datos indican que en extensión, Gualeguaychú y Uruguay son los departamentos con mayor área inundable, mientras que Colón es el que presenta menor número de área inundable total</w:t>
      </w:r>
      <w:r w:rsidR="006355B4" w:rsidRPr="004B1D11">
        <w:rPr>
          <w:rFonts w:ascii="Source Sans Pro" w:eastAsia="Source Sans Pro" w:hAnsi="Source Sans Pro" w:cs="Source Sans Pro"/>
        </w:rPr>
        <w:t>, y el PN El Palmar posee áreas potencialmente inundables solo bajo cota regional de 18 m.</w:t>
      </w:r>
    </w:p>
    <w:p w14:paraId="5EB76D79" w14:textId="3FCB24EF" w:rsidR="00D56662" w:rsidRPr="00D56662" w:rsidRDefault="00D56662" w:rsidP="00D56662">
      <w:pPr>
        <w:rPr>
          <w:rFonts w:ascii="Source Sans Pro" w:eastAsia="Source Sans Pro" w:hAnsi="Source Sans Pro" w:cs="Source Sans Pro"/>
        </w:rPr>
      </w:pPr>
      <w:r>
        <w:rPr>
          <w:rFonts w:ascii="Source Sans Pro" w:eastAsia="Source Sans Pro" w:hAnsi="Source Sans Pro" w:cs="Source Sans Pro"/>
        </w:rPr>
        <w:t xml:space="preserve">Sin embargo, se debe tener en cuenta que </w:t>
      </w:r>
      <w:r w:rsidRPr="00D56662">
        <w:rPr>
          <w:rFonts w:ascii="Source Sans Pro" w:eastAsia="Source Sans Pro" w:hAnsi="Source Sans Pro" w:cs="Source Sans Pro"/>
        </w:rPr>
        <w:t>con respecto a la influencia de la Defensas existentes</w:t>
      </w:r>
      <w:r>
        <w:rPr>
          <w:rFonts w:ascii="Source Sans Pro" w:eastAsia="Source Sans Pro" w:hAnsi="Source Sans Pro" w:cs="Source Sans Pro"/>
        </w:rPr>
        <w:t xml:space="preserve"> en las ciudades</w:t>
      </w:r>
      <w:r w:rsidR="00066351">
        <w:rPr>
          <w:rFonts w:ascii="Source Sans Pro" w:eastAsia="Source Sans Pro" w:hAnsi="Source Sans Pro" w:cs="Source Sans Pro"/>
        </w:rPr>
        <w:t xml:space="preserve"> y sus efectos sobre la reducción de inundaciones causadas por crecidas del Río Uruguay y </w:t>
      </w:r>
      <w:r w:rsidRPr="00D56662">
        <w:rPr>
          <w:rFonts w:ascii="Source Sans Pro" w:eastAsia="Source Sans Pro" w:hAnsi="Source Sans Pro" w:cs="Source Sans Pro"/>
        </w:rPr>
        <w:t xml:space="preserve">al tratarse de modelos de inundación basados en determinantes biofísicas, no tenemos datos específicos sobre los efectos </w:t>
      </w:r>
      <w:r w:rsidR="00066351">
        <w:rPr>
          <w:rFonts w:ascii="Source Sans Pro" w:eastAsia="Source Sans Pro" w:hAnsi="Source Sans Pro" w:cs="Source Sans Pro"/>
        </w:rPr>
        <w:t>en la reducción de la dinámica de inundación</w:t>
      </w:r>
      <w:r w:rsidRPr="00D56662">
        <w:rPr>
          <w:rFonts w:ascii="Source Sans Pro" w:eastAsia="Source Sans Pro" w:hAnsi="Source Sans Pro" w:cs="Source Sans Pro"/>
        </w:rPr>
        <w:t xml:space="preserve">.  </w:t>
      </w:r>
      <w:r w:rsidR="00066351">
        <w:rPr>
          <w:rFonts w:ascii="Source Sans Pro" w:eastAsia="Source Sans Pro" w:hAnsi="Source Sans Pro" w:cs="Source Sans Pro"/>
        </w:rPr>
        <w:t>Esto se debe principalmente a</w:t>
      </w:r>
      <w:r w:rsidRPr="00D56662">
        <w:rPr>
          <w:rFonts w:ascii="Source Sans Pro" w:eastAsia="Source Sans Pro" w:hAnsi="Source Sans Pro" w:cs="Source Sans Pro"/>
        </w:rPr>
        <w:t xml:space="preserve"> que la medición se hace sobre Áreas Potencialmente Inundables lo que implica solo el estimado más próximo por condiciones topográficas </w:t>
      </w:r>
      <w:r w:rsidR="003F7D26">
        <w:rPr>
          <w:rFonts w:ascii="Source Sans Pro" w:eastAsia="Source Sans Pro" w:hAnsi="Source Sans Pro" w:cs="Source Sans Pro"/>
        </w:rPr>
        <w:t>y no considera las</w:t>
      </w:r>
      <w:r w:rsidRPr="00D56662">
        <w:rPr>
          <w:rFonts w:ascii="Source Sans Pro" w:eastAsia="Source Sans Pro" w:hAnsi="Source Sans Pro" w:cs="Source Sans Pro"/>
        </w:rPr>
        <w:t xml:space="preserve"> modificaci</w:t>
      </w:r>
      <w:r w:rsidR="003F7D26">
        <w:rPr>
          <w:rFonts w:ascii="Source Sans Pro" w:eastAsia="Source Sans Pro" w:hAnsi="Source Sans Pro" w:cs="Source Sans Pro"/>
        </w:rPr>
        <w:t>ones</w:t>
      </w:r>
      <w:r w:rsidRPr="00D56662">
        <w:rPr>
          <w:rFonts w:ascii="Source Sans Pro" w:eastAsia="Source Sans Pro" w:hAnsi="Source Sans Pro" w:cs="Source Sans Pro"/>
        </w:rPr>
        <w:t xml:space="preserve"> antrópica</w:t>
      </w:r>
      <w:r w:rsidR="003F7D26">
        <w:rPr>
          <w:rFonts w:ascii="Source Sans Pro" w:eastAsia="Source Sans Pro" w:hAnsi="Source Sans Pro" w:cs="Source Sans Pro"/>
        </w:rPr>
        <w:t>s que</w:t>
      </w:r>
      <w:r w:rsidRPr="00D56662">
        <w:rPr>
          <w:rFonts w:ascii="Source Sans Pro" w:eastAsia="Source Sans Pro" w:hAnsi="Source Sans Pro" w:cs="Source Sans Pro"/>
        </w:rPr>
        <w:t xml:space="preserve"> puede aumentar o disminuir</w:t>
      </w:r>
      <w:r w:rsidR="003F7D26">
        <w:rPr>
          <w:rFonts w:ascii="Source Sans Pro" w:eastAsia="Source Sans Pro" w:hAnsi="Source Sans Pro" w:cs="Source Sans Pro"/>
        </w:rPr>
        <w:t xml:space="preserve"> las</w:t>
      </w:r>
      <w:r w:rsidRPr="00D56662">
        <w:rPr>
          <w:rFonts w:ascii="Source Sans Pro" w:eastAsia="Source Sans Pro" w:hAnsi="Source Sans Pro" w:cs="Source Sans Pro"/>
        </w:rPr>
        <w:t xml:space="preserve"> </w:t>
      </w:r>
      <w:r w:rsidR="003F7D26">
        <w:rPr>
          <w:rFonts w:ascii="Source Sans Pro" w:eastAsia="Source Sans Pro" w:hAnsi="Source Sans Pro" w:cs="Source Sans Pro"/>
        </w:rPr>
        <w:t xml:space="preserve">causas de </w:t>
      </w:r>
      <w:r w:rsidRPr="00D56662">
        <w:rPr>
          <w:rFonts w:ascii="Source Sans Pro" w:eastAsia="Source Sans Pro" w:hAnsi="Source Sans Pro" w:cs="Source Sans Pro"/>
        </w:rPr>
        <w:t xml:space="preserve">inundación.  </w:t>
      </w:r>
    </w:p>
    <w:p w14:paraId="732CDAC5" w14:textId="57CC1925" w:rsidR="00D56662" w:rsidRDefault="00D56662" w:rsidP="00D56662">
      <w:pPr>
        <w:rPr>
          <w:rFonts w:ascii="Source Sans Pro" w:eastAsia="Source Sans Pro" w:hAnsi="Source Sans Pro" w:cs="Source Sans Pro"/>
        </w:rPr>
      </w:pPr>
      <w:r w:rsidRPr="00D56662">
        <w:rPr>
          <w:rFonts w:ascii="Source Sans Pro" w:eastAsia="Source Sans Pro" w:hAnsi="Source Sans Pro" w:cs="Source Sans Pro"/>
        </w:rPr>
        <w:t xml:space="preserve">Debido al tipo de metodología de sensores remotos, no tenemos datos que nos muestren dichas modificaciones </w:t>
      </w:r>
      <w:r w:rsidRPr="003F7D26">
        <w:rPr>
          <w:rFonts w:ascii="Source Sans Pro" w:eastAsia="Source Sans Pro" w:hAnsi="Source Sans Pro" w:cs="Source Sans Pro"/>
          <w:i/>
          <w:iCs/>
        </w:rPr>
        <w:t>in situ</w:t>
      </w:r>
      <w:r w:rsidRPr="00D56662">
        <w:rPr>
          <w:rFonts w:ascii="Source Sans Pro" w:eastAsia="Source Sans Pro" w:hAnsi="Source Sans Pro" w:cs="Source Sans Pro"/>
        </w:rPr>
        <w:t>.  Sin embargo, es considerable que el ejercicio que presentamos incluye áreas inundables también de ríos internos que quedan adentro de las defensas, lo que implica mayor cobertura de las posibles inundaciones.</w:t>
      </w:r>
    </w:p>
    <w:p w14:paraId="00ECBEB6" w14:textId="2A9E0C73" w:rsidR="00A26761" w:rsidRDefault="00A26761" w:rsidP="00D56662">
      <w:pPr>
        <w:rPr>
          <w:rFonts w:ascii="Source Sans Pro" w:eastAsia="Source Sans Pro" w:hAnsi="Source Sans Pro" w:cs="Source Sans Pro"/>
        </w:rPr>
      </w:pPr>
    </w:p>
    <w:p w14:paraId="08C0A48C" w14:textId="77777777" w:rsidR="00D77299" w:rsidRDefault="00D77299" w:rsidP="00D56662">
      <w:pPr>
        <w:rPr>
          <w:rFonts w:ascii="Source Sans Pro" w:eastAsia="Source Sans Pro" w:hAnsi="Source Sans Pro" w:cs="Source Sans Pro"/>
        </w:rPr>
      </w:pPr>
    </w:p>
    <w:p w14:paraId="0007A6EB" w14:textId="43797CFC" w:rsidR="00A26761" w:rsidRDefault="00A26761" w:rsidP="00D56662">
      <w:pPr>
        <w:rPr>
          <w:rFonts w:ascii="Source Sans Pro" w:eastAsia="Source Sans Pro" w:hAnsi="Source Sans Pro" w:cs="Source Sans Pro"/>
          <w:b/>
          <w:bCs/>
        </w:rPr>
      </w:pPr>
      <w:r>
        <w:rPr>
          <w:rFonts w:ascii="Source Sans Pro" w:eastAsia="Source Sans Pro" w:hAnsi="Source Sans Pro" w:cs="Source Sans Pro"/>
          <w:b/>
          <w:bCs/>
        </w:rPr>
        <w:lastRenderedPageBreak/>
        <w:t>Conclusiones</w:t>
      </w:r>
    </w:p>
    <w:p w14:paraId="7F1991C5" w14:textId="77777777" w:rsidR="00A26761" w:rsidRDefault="00A26761" w:rsidP="00D56662">
      <w:pPr>
        <w:rPr>
          <w:rFonts w:ascii="Source Sans Pro" w:eastAsia="Source Sans Pro" w:hAnsi="Source Sans Pro" w:cs="Source Sans Pro"/>
          <w:b/>
          <w:bCs/>
        </w:rPr>
      </w:pPr>
    </w:p>
    <w:p w14:paraId="412FEFFD" w14:textId="265E9C69" w:rsidR="00A26761" w:rsidRPr="00A26761" w:rsidRDefault="00A26761" w:rsidP="00A26761">
      <w:pPr>
        <w:rPr>
          <w:rFonts w:ascii="Source Sans Pro" w:eastAsia="Source Sans Pro" w:hAnsi="Source Sans Pro" w:cs="Source Sans Pro"/>
        </w:rPr>
      </w:pPr>
      <w:r w:rsidRPr="00A26761">
        <w:rPr>
          <w:rFonts w:ascii="Source Sans Pro" w:eastAsia="Source Sans Pro" w:hAnsi="Source Sans Pro" w:cs="Source Sans Pro"/>
        </w:rPr>
        <w:t xml:space="preserve">El análisis realizado </w:t>
      </w:r>
      <w:r w:rsidR="007972A4">
        <w:rPr>
          <w:rFonts w:ascii="Source Sans Pro" w:eastAsia="Source Sans Pro" w:hAnsi="Source Sans Pro" w:cs="Source Sans Pro"/>
        </w:rPr>
        <w:t>logra establecer</w:t>
      </w:r>
      <w:r w:rsidRPr="00A26761">
        <w:rPr>
          <w:rFonts w:ascii="Source Sans Pro" w:eastAsia="Source Sans Pro" w:hAnsi="Source Sans Pro" w:cs="Source Sans Pro"/>
        </w:rPr>
        <w:t xml:space="preserve"> </w:t>
      </w:r>
      <w:r w:rsidR="007972A4">
        <w:rPr>
          <w:rFonts w:ascii="Source Sans Pro" w:eastAsia="Source Sans Pro" w:hAnsi="Source Sans Pro" w:cs="Source Sans Pro"/>
        </w:rPr>
        <w:t>a</w:t>
      </w:r>
      <w:r w:rsidRPr="00A26761">
        <w:rPr>
          <w:rFonts w:ascii="Source Sans Pro" w:eastAsia="Source Sans Pro" w:hAnsi="Source Sans Pro" w:cs="Source Sans Pro"/>
        </w:rPr>
        <w:t xml:space="preserve"> las inundaciones </w:t>
      </w:r>
      <w:r w:rsidR="007972A4">
        <w:rPr>
          <w:rFonts w:ascii="Source Sans Pro" w:eastAsia="Source Sans Pro" w:hAnsi="Source Sans Pro" w:cs="Source Sans Pro"/>
        </w:rPr>
        <w:t>como</w:t>
      </w:r>
      <w:r w:rsidRPr="00A26761">
        <w:rPr>
          <w:rFonts w:ascii="Source Sans Pro" w:eastAsia="Source Sans Pro" w:hAnsi="Source Sans Pro" w:cs="Source Sans Pro"/>
        </w:rPr>
        <w:t xml:space="preserve"> el principal desastre en la provincia de Entre Ríos según registros históricos</w:t>
      </w:r>
      <w:r w:rsidR="007972A4">
        <w:rPr>
          <w:rFonts w:ascii="Source Sans Pro" w:eastAsia="Source Sans Pro" w:hAnsi="Source Sans Pro" w:cs="Source Sans Pro"/>
        </w:rPr>
        <w:t xml:space="preserve">, siendo consideradas como contribuyentes importantes al </w:t>
      </w:r>
      <w:r w:rsidRPr="00A26761">
        <w:rPr>
          <w:rFonts w:ascii="Source Sans Pro" w:eastAsia="Source Sans Pro" w:hAnsi="Source Sans Pro" w:cs="Source Sans Pro"/>
        </w:rPr>
        <w:t>porcentaje de pérdidas humanas, eventos, afectados y viviendas dañadas</w:t>
      </w:r>
      <w:r w:rsidR="007972A4">
        <w:rPr>
          <w:rFonts w:ascii="Source Sans Pro" w:eastAsia="Source Sans Pro" w:hAnsi="Source Sans Pro" w:cs="Source Sans Pro"/>
        </w:rPr>
        <w:t xml:space="preserve"> en eventos extremos del territorio</w:t>
      </w:r>
      <w:r w:rsidRPr="00A26761">
        <w:rPr>
          <w:rFonts w:ascii="Source Sans Pro" w:eastAsia="Source Sans Pro" w:hAnsi="Source Sans Pro" w:cs="Source Sans Pro"/>
        </w:rPr>
        <w:t xml:space="preserve">. </w:t>
      </w:r>
      <w:r w:rsidR="007972A4">
        <w:rPr>
          <w:rFonts w:ascii="Source Sans Pro" w:eastAsia="Source Sans Pro" w:hAnsi="Source Sans Pro" w:cs="Source Sans Pro"/>
        </w:rPr>
        <w:t xml:space="preserve"> A través del uso de</w:t>
      </w:r>
      <w:r w:rsidRPr="00A26761">
        <w:rPr>
          <w:rFonts w:ascii="Source Sans Pro" w:eastAsia="Source Sans Pro" w:hAnsi="Source Sans Pro" w:cs="Source Sans Pro"/>
        </w:rPr>
        <w:t xml:space="preserve"> modelos de elevación digital</w:t>
      </w:r>
      <w:r w:rsidR="007972A4">
        <w:rPr>
          <w:rFonts w:ascii="Source Sans Pro" w:eastAsia="Source Sans Pro" w:hAnsi="Source Sans Pro" w:cs="Source Sans Pro"/>
        </w:rPr>
        <w:t xml:space="preserve">, se estimaron </w:t>
      </w:r>
      <w:r w:rsidRPr="00A26761">
        <w:rPr>
          <w:rFonts w:ascii="Source Sans Pro" w:eastAsia="Source Sans Pro" w:hAnsi="Source Sans Pro" w:cs="Source Sans Pro"/>
        </w:rPr>
        <w:t>las áreas potencialmente inundables en los departamentos de Concordia, Colón, Uruguay y Gualeguaychú</w:t>
      </w:r>
      <w:r w:rsidR="00A914DD">
        <w:rPr>
          <w:rFonts w:ascii="Source Sans Pro" w:eastAsia="Source Sans Pro" w:hAnsi="Source Sans Pro" w:cs="Source Sans Pro"/>
        </w:rPr>
        <w:t xml:space="preserve">, encontrándose </w:t>
      </w:r>
      <w:r w:rsidRPr="00A26761">
        <w:rPr>
          <w:rFonts w:ascii="Source Sans Pro" w:eastAsia="Source Sans Pro" w:hAnsi="Source Sans Pro" w:cs="Source Sans Pro"/>
        </w:rPr>
        <w:t>una gran variabilidad en las predicciones de área inundable entre los modelos</w:t>
      </w:r>
      <w:r w:rsidR="00A914DD">
        <w:rPr>
          <w:rFonts w:ascii="Source Sans Pro" w:eastAsia="Source Sans Pro" w:hAnsi="Source Sans Pro" w:cs="Source Sans Pro"/>
        </w:rPr>
        <w:t xml:space="preserve"> </w:t>
      </w:r>
      <w:proofErr w:type="spellStart"/>
      <w:r w:rsidR="00A914DD">
        <w:rPr>
          <w:rFonts w:ascii="Source Sans Pro" w:eastAsia="Source Sans Pro" w:hAnsi="Source Sans Pro" w:cs="Source Sans Pro"/>
        </w:rPr>
        <w:t>Tellman</w:t>
      </w:r>
      <w:proofErr w:type="spellEnd"/>
      <w:r w:rsidR="00A914DD">
        <w:rPr>
          <w:rFonts w:ascii="Source Sans Pro" w:eastAsia="Source Sans Pro" w:hAnsi="Source Sans Pro" w:cs="Source Sans Pro"/>
        </w:rPr>
        <w:t xml:space="preserve"> y </w:t>
      </w:r>
      <w:proofErr w:type="spellStart"/>
      <w:r w:rsidR="00A914DD">
        <w:rPr>
          <w:rFonts w:ascii="Source Sans Pro" w:eastAsia="Source Sans Pro" w:hAnsi="Source Sans Pro" w:cs="Source Sans Pro"/>
        </w:rPr>
        <w:t>Pekel</w:t>
      </w:r>
      <w:proofErr w:type="spellEnd"/>
      <w:r w:rsidRPr="00A26761">
        <w:rPr>
          <w:rFonts w:ascii="Source Sans Pro" w:eastAsia="Source Sans Pro" w:hAnsi="Source Sans Pro" w:cs="Source Sans Pro"/>
        </w:rPr>
        <w:t xml:space="preserve">, resaltando la sensibilidad de las estimaciones </w:t>
      </w:r>
      <w:r w:rsidR="00A914DD">
        <w:rPr>
          <w:rFonts w:ascii="Source Sans Pro" w:eastAsia="Source Sans Pro" w:hAnsi="Source Sans Pro" w:cs="Source Sans Pro"/>
        </w:rPr>
        <w:t xml:space="preserve">al uso de variables de manchas de inundación a través de imágenes satelitales </w:t>
      </w:r>
      <w:proofErr w:type="spellStart"/>
      <w:r w:rsidR="00A914DD">
        <w:rPr>
          <w:rFonts w:ascii="Source Sans Pro" w:eastAsia="Source Sans Pro" w:hAnsi="Source Sans Pro" w:cs="Source Sans Pro"/>
        </w:rPr>
        <w:t>Modis</w:t>
      </w:r>
      <w:proofErr w:type="spellEnd"/>
      <w:r w:rsidR="00A914DD">
        <w:rPr>
          <w:rFonts w:ascii="Source Sans Pro" w:eastAsia="Source Sans Pro" w:hAnsi="Source Sans Pro" w:cs="Source Sans Pro"/>
        </w:rPr>
        <w:t xml:space="preserve"> y Landsat.</w:t>
      </w:r>
    </w:p>
    <w:p w14:paraId="2E818F39" w14:textId="28431FE6" w:rsidR="00A26761" w:rsidRPr="00A26761" w:rsidRDefault="00F63D32" w:rsidP="00A26761">
      <w:pPr>
        <w:rPr>
          <w:rFonts w:ascii="Source Sans Pro" w:eastAsia="Source Sans Pro" w:hAnsi="Source Sans Pro" w:cs="Source Sans Pro"/>
        </w:rPr>
      </w:pPr>
      <w:r>
        <w:rPr>
          <w:rFonts w:ascii="Source Sans Pro" w:eastAsia="Source Sans Pro" w:hAnsi="Source Sans Pro" w:cs="Source Sans Pro"/>
        </w:rPr>
        <w:t>Combinando las diversas informaciones de cotas a nivel regional y departamental provenientes de los modelos de manchas de inundación (</w:t>
      </w:r>
      <w:proofErr w:type="spellStart"/>
      <w:r>
        <w:rPr>
          <w:rFonts w:ascii="Source Sans Pro" w:eastAsia="Source Sans Pro" w:hAnsi="Source Sans Pro" w:cs="Source Sans Pro"/>
        </w:rPr>
        <w:t>Tellman</w:t>
      </w:r>
      <w:proofErr w:type="spellEnd"/>
      <w:r>
        <w:rPr>
          <w:rFonts w:ascii="Source Sans Pro" w:eastAsia="Source Sans Pro" w:hAnsi="Source Sans Pro" w:cs="Source Sans Pro"/>
        </w:rPr>
        <w:t xml:space="preserve"> y </w:t>
      </w:r>
      <w:proofErr w:type="spellStart"/>
      <w:r>
        <w:rPr>
          <w:rFonts w:ascii="Source Sans Pro" w:eastAsia="Source Sans Pro" w:hAnsi="Source Sans Pro" w:cs="Source Sans Pro"/>
        </w:rPr>
        <w:t>Pekel</w:t>
      </w:r>
      <w:proofErr w:type="spellEnd"/>
      <w:r>
        <w:rPr>
          <w:rFonts w:ascii="Source Sans Pro" w:eastAsia="Source Sans Pro" w:hAnsi="Source Sans Pro" w:cs="Source Sans Pro"/>
        </w:rPr>
        <w:t xml:space="preserve">) y de información secundaria de diversos informes técnicos disponibles, se encontró que </w:t>
      </w:r>
      <w:r w:rsidR="00A26761" w:rsidRPr="00A26761">
        <w:rPr>
          <w:rFonts w:ascii="Source Sans Pro" w:eastAsia="Source Sans Pro" w:hAnsi="Source Sans Pro" w:cs="Source Sans Pro"/>
        </w:rPr>
        <w:t>Concordia, Colón</w:t>
      </w:r>
      <w:r w:rsidR="00D77299">
        <w:rPr>
          <w:rFonts w:ascii="Source Sans Pro" w:eastAsia="Source Sans Pro" w:hAnsi="Source Sans Pro" w:cs="Source Sans Pro"/>
        </w:rPr>
        <w:t xml:space="preserve"> (incluyendo al Parque Nacional El Palmar)</w:t>
      </w:r>
      <w:r w:rsidR="00A26761" w:rsidRPr="00A26761">
        <w:rPr>
          <w:rFonts w:ascii="Source Sans Pro" w:eastAsia="Source Sans Pro" w:hAnsi="Source Sans Pro" w:cs="Source Sans Pro"/>
        </w:rPr>
        <w:t xml:space="preserve"> y Gualeguaychú resultaron ser las ciudades con mayor área inundable por debajo de la cota departamental.</w:t>
      </w:r>
      <w:r w:rsidR="00D77299">
        <w:rPr>
          <w:rFonts w:ascii="Source Sans Pro" w:eastAsia="Source Sans Pro" w:hAnsi="Source Sans Pro" w:cs="Source Sans Pro"/>
        </w:rPr>
        <w:t xml:space="preserve"> </w:t>
      </w:r>
      <w:r w:rsidR="00A26761" w:rsidRPr="00A26761">
        <w:rPr>
          <w:rFonts w:ascii="Source Sans Pro" w:eastAsia="Source Sans Pro" w:hAnsi="Source Sans Pro" w:cs="Source Sans Pro"/>
        </w:rPr>
        <w:t xml:space="preserve"> En términos de extensión, Gualeguaychú y Uruguay presentaron la mayor área total inundable, mientras que Colón mostró la menor. El área inundable demostró ser muy sensible a la cota utilizada, disminuyendo a medida que se reducía la cota. El análisis permitió identificar las zonas y localidades de mayor riesgo de inundación, siendo insumo para focalizar acciones de prevención y mitigación. </w:t>
      </w:r>
      <w:r w:rsidR="00D77299">
        <w:rPr>
          <w:rFonts w:ascii="Source Sans Pro" w:eastAsia="Source Sans Pro" w:hAnsi="Source Sans Pro" w:cs="Source Sans Pro"/>
        </w:rPr>
        <w:t xml:space="preserve">Por último se </w:t>
      </w:r>
      <w:r w:rsidR="00F72F18">
        <w:rPr>
          <w:rFonts w:ascii="Source Sans Pro" w:eastAsia="Source Sans Pro" w:hAnsi="Source Sans Pro" w:cs="Source Sans Pro"/>
        </w:rPr>
        <w:t xml:space="preserve">recomienda </w:t>
      </w:r>
      <w:r w:rsidR="00F72F18" w:rsidRPr="00A26761">
        <w:rPr>
          <w:rFonts w:ascii="Source Sans Pro" w:eastAsia="Source Sans Pro" w:hAnsi="Source Sans Pro" w:cs="Source Sans Pro"/>
        </w:rPr>
        <w:t>incorporar</w:t>
      </w:r>
      <w:r w:rsidR="00A26761" w:rsidRPr="00A26761">
        <w:rPr>
          <w:rFonts w:ascii="Source Sans Pro" w:eastAsia="Source Sans Pro" w:hAnsi="Source Sans Pro" w:cs="Source Sans Pro"/>
        </w:rPr>
        <w:t xml:space="preserve"> otros factores</w:t>
      </w:r>
      <w:r w:rsidR="00F72F18">
        <w:rPr>
          <w:rFonts w:ascii="Source Sans Pro" w:eastAsia="Source Sans Pro" w:hAnsi="Source Sans Pro" w:cs="Source Sans Pro"/>
        </w:rPr>
        <w:t xml:space="preserve"> </w:t>
      </w:r>
      <w:r w:rsidR="00E25C20">
        <w:rPr>
          <w:rFonts w:ascii="Source Sans Pro" w:eastAsia="Source Sans Pro" w:hAnsi="Source Sans Pro" w:cs="Source Sans Pro"/>
        </w:rPr>
        <w:t>condicionantes</w:t>
      </w:r>
      <w:r w:rsidR="00A26761" w:rsidRPr="00A26761">
        <w:rPr>
          <w:rFonts w:ascii="Source Sans Pro" w:eastAsia="Source Sans Pro" w:hAnsi="Source Sans Pro" w:cs="Source Sans Pro"/>
        </w:rPr>
        <w:t xml:space="preserve"> como infraestructura de protección para tener estimaciones más precisas del peligro de inundación</w:t>
      </w:r>
      <w:r w:rsidR="00D77299">
        <w:rPr>
          <w:rFonts w:ascii="Source Sans Pro" w:eastAsia="Source Sans Pro" w:hAnsi="Source Sans Pro" w:cs="Source Sans Pro"/>
        </w:rPr>
        <w:t xml:space="preserve"> que puedan </w:t>
      </w:r>
      <w:r w:rsidR="00E25C20">
        <w:rPr>
          <w:rFonts w:ascii="Source Sans Pro" w:eastAsia="Source Sans Pro" w:hAnsi="Source Sans Pro" w:cs="Source Sans Pro"/>
        </w:rPr>
        <w:t>generar</w:t>
      </w:r>
      <w:r w:rsidR="00D77299">
        <w:rPr>
          <w:rFonts w:ascii="Source Sans Pro" w:eastAsia="Source Sans Pro" w:hAnsi="Source Sans Pro" w:cs="Source Sans Pro"/>
        </w:rPr>
        <w:t xml:space="preserve"> variaciones con el Área Potencialmente Inundable (API).</w:t>
      </w:r>
    </w:p>
    <w:p w14:paraId="2426F98E" w14:textId="77777777" w:rsidR="00A26761" w:rsidRDefault="00A26761">
      <w:pPr>
        <w:rPr>
          <w:rFonts w:ascii="Source Sans Pro" w:eastAsia="Source Sans Pro" w:hAnsi="Source Sans Pro" w:cs="Source Sans Pro"/>
          <w:b/>
        </w:rPr>
      </w:pPr>
    </w:p>
    <w:p w14:paraId="049FFCAD" w14:textId="12FA3744" w:rsidR="008958F7" w:rsidRPr="004B1D11" w:rsidRDefault="005F0953">
      <w:pPr>
        <w:rPr>
          <w:rFonts w:ascii="Source Sans Pro" w:eastAsia="Source Sans Pro" w:hAnsi="Source Sans Pro" w:cs="Source Sans Pro"/>
          <w:b/>
        </w:rPr>
      </w:pPr>
      <w:r w:rsidRPr="004B1D11">
        <w:rPr>
          <w:rFonts w:ascii="Source Sans Pro" w:eastAsia="Source Sans Pro" w:hAnsi="Source Sans Pro" w:cs="Source Sans Pro"/>
          <w:b/>
        </w:rPr>
        <w:t>Bibliografía</w:t>
      </w:r>
    </w:p>
    <w:p w14:paraId="08AD2848"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 xml:space="preserve">UNDDR “Marco de Trabajo Sendai para la Reducción del Riesgo de Desastres” (2023).  DESINVENTAR. Perfil Argentina.  16 de mayo de 2023.  Disponible en </w:t>
      </w:r>
      <w:hyperlink r:id="rId12">
        <w:r w:rsidRPr="004B1D11">
          <w:rPr>
            <w:rFonts w:ascii="Source Sans Pro" w:eastAsia="Source Sans Pro" w:hAnsi="Source Sans Pro" w:cs="Source Sans Pro"/>
            <w:u w:val="single"/>
          </w:rPr>
          <w:t>https://www.desinventar.net/DesInventar/profiletab.jsp</w:t>
        </w:r>
      </w:hyperlink>
      <w:r w:rsidRPr="004B1D11">
        <w:rPr>
          <w:rFonts w:ascii="Source Sans Pro" w:eastAsia="Source Sans Pro" w:hAnsi="Source Sans Pro" w:cs="Source Sans Pro"/>
        </w:rPr>
        <w:t xml:space="preserve"> </w:t>
      </w:r>
    </w:p>
    <w:p w14:paraId="75EF04CE"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Carñel, G. E., Bonnin, R. S., &amp; Savoy, F. (2016). Análisis sobre la percepción frente al riesgo por inundación en dos barrios de Concepción del Uruguay, Entre Ríos, Argentina. Locale, 1(1), 97-116.</w:t>
      </w:r>
    </w:p>
    <w:p w14:paraId="6D984AF2" w14:textId="77777777" w:rsidR="008958F7" w:rsidRPr="004B1D11" w:rsidRDefault="005F0953">
      <w:pPr>
        <w:rPr>
          <w:rFonts w:ascii="Source Sans Pro" w:eastAsia="Source Sans Pro" w:hAnsi="Source Sans Pro" w:cs="Source Sans Pro"/>
        </w:rPr>
      </w:pPr>
      <w:r w:rsidRPr="004B1D11">
        <w:rPr>
          <w:rFonts w:ascii="Source Sans Pro" w:eastAsia="Source Sans Pro" w:hAnsi="Source Sans Pro" w:cs="Source Sans Pro"/>
        </w:rPr>
        <w:t>Castro-Díaz R, Visintini M., Del Rey Rodríguez M., Bustamante M., Medrano M., Müller Heindenreich M. y Natenzon C. E. (2023). “Vulnerabilidad Social y Análisis Hemerográfico de los desastres hidrológicos en la Provincia de Entre Ríos, Argentina (2000-2020)”. Artículo en Revisión.</w:t>
      </w:r>
    </w:p>
    <w:p w14:paraId="0680065A" w14:textId="77777777" w:rsidR="008958F7" w:rsidRPr="004B1D11" w:rsidRDefault="005F0953">
      <w:pPr>
        <w:jc w:val="both"/>
        <w:rPr>
          <w:rFonts w:ascii="Source Sans Pro" w:eastAsia="Source Sans Pro" w:hAnsi="Source Sans Pro" w:cs="Source Sans Pro"/>
          <w:highlight w:val="white"/>
        </w:rPr>
      </w:pPr>
      <w:r w:rsidRPr="004B1D11">
        <w:rPr>
          <w:rFonts w:ascii="Source Sans Pro" w:eastAsia="Source Sans Pro" w:hAnsi="Source Sans Pro" w:cs="Source Sans Pro"/>
          <w:highlight w:val="white"/>
        </w:rPr>
        <w:lastRenderedPageBreak/>
        <w:t>Celis, A. (2006). Desastres en la Región Litoral de Argentina: 1970-2004. </w:t>
      </w:r>
      <w:r w:rsidRPr="004B1D11">
        <w:rPr>
          <w:rFonts w:ascii="Source Sans Pro" w:eastAsia="Source Sans Pro" w:hAnsi="Source Sans Pro" w:cs="Source Sans Pro"/>
          <w:i/>
          <w:highlight w:val="white"/>
        </w:rPr>
        <w:t>Pampa: Revista Interuniversitaria de Estudios Territoriales</w:t>
      </w:r>
      <w:r w:rsidRPr="004B1D11">
        <w:rPr>
          <w:rFonts w:ascii="Source Sans Pro" w:eastAsia="Source Sans Pro" w:hAnsi="Source Sans Pro" w:cs="Source Sans Pro"/>
          <w:highlight w:val="white"/>
        </w:rPr>
        <w:t>, (2), 85-109.</w:t>
      </w:r>
    </w:p>
    <w:p w14:paraId="7880557A" w14:textId="77777777" w:rsidR="008958F7" w:rsidRPr="004B1D11" w:rsidRDefault="005F0953">
      <w:pPr>
        <w:jc w:val="both"/>
        <w:rPr>
          <w:rFonts w:ascii="Source Sans Pro" w:eastAsia="Source Sans Pro" w:hAnsi="Source Sans Pro" w:cs="Source Sans Pro"/>
          <w:highlight w:val="white"/>
        </w:rPr>
      </w:pPr>
      <w:r w:rsidRPr="004B1D11">
        <w:rPr>
          <w:rFonts w:ascii="Source Sans Pro" w:eastAsia="Source Sans Pro" w:hAnsi="Source Sans Pro" w:cs="Source Sans Pro"/>
          <w:highlight w:val="white"/>
        </w:rPr>
        <w:t xml:space="preserve">Grupo GECRU (2019). Análisis de la crecida del Río Gualeguaychú del 20 de junio de 2019. Ministerio de Educación. Universidad Tecnológica Nacional. Regional Concepción del Uruguay. Julio. </w:t>
      </w:r>
    </w:p>
    <w:p w14:paraId="6E5C1EA8" w14:textId="77777777" w:rsidR="008958F7" w:rsidRPr="004B1D11" w:rsidRDefault="005F0953">
      <w:pPr>
        <w:jc w:val="both"/>
        <w:rPr>
          <w:rFonts w:ascii="Source Sans Pro" w:eastAsia="Source Sans Pro" w:hAnsi="Source Sans Pro" w:cs="Source Sans Pro"/>
          <w:highlight w:val="white"/>
        </w:rPr>
      </w:pPr>
      <w:r w:rsidRPr="004B1D11">
        <w:rPr>
          <w:rFonts w:ascii="Source Sans Pro" w:eastAsia="Source Sans Pro" w:hAnsi="Source Sans Pro" w:cs="Source Sans Pro"/>
          <w:highlight w:val="white"/>
        </w:rPr>
        <w:t xml:space="preserve">IGN.  Capas SIG.  Base de datos de shapes y capas digitales.  Disponible en </w:t>
      </w:r>
      <w:hyperlink r:id="rId13">
        <w:r w:rsidRPr="004B1D11">
          <w:rPr>
            <w:rFonts w:ascii="Source Sans Pro" w:eastAsia="Source Sans Pro" w:hAnsi="Source Sans Pro" w:cs="Source Sans Pro"/>
            <w:highlight w:val="white"/>
            <w:u w:val="single"/>
          </w:rPr>
          <w:t>https://www.ign.gob.ar/NuestrasActividades/InformacionGeoespacial/CapasSIG</w:t>
        </w:r>
      </w:hyperlink>
      <w:r w:rsidRPr="004B1D11">
        <w:rPr>
          <w:rFonts w:ascii="Source Sans Pro" w:eastAsia="Source Sans Pro" w:hAnsi="Source Sans Pro" w:cs="Source Sans Pro"/>
          <w:highlight w:val="white"/>
        </w:rPr>
        <w:t xml:space="preserve"> Agosto 2023.</w:t>
      </w:r>
    </w:p>
    <w:p w14:paraId="5F10FE41" w14:textId="77777777" w:rsidR="008958F7" w:rsidRPr="004B1D11" w:rsidRDefault="005F0953">
      <w:pPr>
        <w:jc w:val="both"/>
        <w:rPr>
          <w:rFonts w:ascii="Source Sans Pro" w:eastAsia="Source Sans Pro" w:hAnsi="Source Sans Pro" w:cs="Source Sans Pro"/>
          <w:highlight w:val="white"/>
        </w:rPr>
      </w:pPr>
      <w:r w:rsidRPr="004B1D11">
        <w:rPr>
          <w:rFonts w:ascii="Source Sans Pro" w:eastAsia="Source Sans Pro" w:hAnsi="Source Sans Pro" w:cs="Source Sans Pro"/>
          <w:highlight w:val="white"/>
          <w:lang w:val="en-US"/>
        </w:rPr>
        <w:t>Pekel, J. F., Cottam, A., Gorelick, N., &amp; Belward, A. S. (2016). High-resolution mapping of global surface water and its long-term changes. </w:t>
      </w:r>
      <w:r w:rsidRPr="004B1D11">
        <w:rPr>
          <w:rFonts w:ascii="Source Sans Pro" w:eastAsia="Source Sans Pro" w:hAnsi="Source Sans Pro" w:cs="Source Sans Pro"/>
          <w:i/>
          <w:highlight w:val="white"/>
        </w:rPr>
        <w:t>Nature</w:t>
      </w:r>
      <w:r w:rsidRPr="004B1D11">
        <w:rPr>
          <w:rFonts w:ascii="Source Sans Pro" w:eastAsia="Source Sans Pro" w:hAnsi="Source Sans Pro" w:cs="Source Sans Pro"/>
          <w:highlight w:val="white"/>
        </w:rPr>
        <w:t>, </w:t>
      </w:r>
      <w:r w:rsidRPr="004B1D11">
        <w:rPr>
          <w:rFonts w:ascii="Source Sans Pro" w:eastAsia="Source Sans Pro" w:hAnsi="Source Sans Pro" w:cs="Source Sans Pro"/>
          <w:i/>
          <w:highlight w:val="white"/>
        </w:rPr>
        <w:t>540</w:t>
      </w:r>
      <w:r w:rsidRPr="004B1D11">
        <w:rPr>
          <w:rFonts w:ascii="Source Sans Pro" w:eastAsia="Source Sans Pro" w:hAnsi="Source Sans Pro" w:cs="Source Sans Pro"/>
          <w:highlight w:val="white"/>
        </w:rPr>
        <w:t>(7633), 418-422.</w:t>
      </w:r>
    </w:p>
    <w:p w14:paraId="29F6DAC2" w14:textId="77777777" w:rsidR="008958F7" w:rsidRPr="004B1D11" w:rsidRDefault="005F0953">
      <w:pPr>
        <w:jc w:val="both"/>
        <w:rPr>
          <w:rFonts w:ascii="Source Sans Pro" w:eastAsia="Source Sans Pro" w:hAnsi="Source Sans Pro" w:cs="Source Sans Pro"/>
        </w:rPr>
      </w:pPr>
      <w:r w:rsidRPr="004B1D11">
        <w:rPr>
          <w:rFonts w:ascii="Source Sans Pro" w:eastAsia="Source Sans Pro" w:hAnsi="Source Sans Pro" w:cs="Source Sans Pro"/>
          <w:highlight w:val="white"/>
        </w:rPr>
        <w:t>Piton (2016). “Verificación niveles máximos Reservorio Sur Concordia”.  PITON-BISA.  Reporte o Informe de Consultoría. Noviembre.</w:t>
      </w:r>
    </w:p>
    <w:p w14:paraId="7E330177" w14:textId="06AE1BE5" w:rsidR="008958F7" w:rsidRPr="004B1D11" w:rsidRDefault="005F0953">
      <w:pPr>
        <w:rPr>
          <w:rFonts w:ascii="Source Sans Pro" w:eastAsia="Source Sans Pro" w:hAnsi="Source Sans Pro" w:cs="Source Sans Pro"/>
          <w:highlight w:val="white"/>
        </w:rPr>
      </w:pPr>
      <w:r w:rsidRPr="004B1D11">
        <w:rPr>
          <w:rFonts w:ascii="Source Sans Pro" w:eastAsia="Source Sans Pro" w:hAnsi="Source Sans Pro" w:cs="Source Sans Pro"/>
          <w:highlight w:val="white"/>
        </w:rPr>
        <w:t xml:space="preserve">La Nasa, P. Convenio de Transferencia de Tecnología vinculado a la Investigación Científica y Tecnológica. PITON </w:t>
      </w:r>
      <w:r w:rsidR="00F315C7" w:rsidRPr="004B1D11">
        <w:rPr>
          <w:rFonts w:ascii="Source Sans Pro" w:eastAsia="Source Sans Pro" w:hAnsi="Source Sans Pro" w:cs="Source Sans Pro"/>
          <w:highlight w:val="white"/>
        </w:rPr>
        <w:t>PRODYTEQ,</w:t>
      </w:r>
      <w:r w:rsidRPr="004B1D11">
        <w:rPr>
          <w:rFonts w:ascii="Source Sans Pro" w:eastAsia="Source Sans Pro" w:hAnsi="Source Sans Pro" w:cs="Source Sans Pro"/>
          <w:highlight w:val="white"/>
        </w:rPr>
        <w:t xml:space="preserve"> Producto 2 (2017). Anexo 2. Defensa Sur de Concordia – Entre Ríos. Plan de Acción Durante Emergencias (PADE) 2017 – 2020.</w:t>
      </w:r>
    </w:p>
    <w:p w14:paraId="05CC2CE4" w14:textId="77777777" w:rsidR="008958F7" w:rsidRPr="004B1D11" w:rsidRDefault="005F0953">
      <w:pPr>
        <w:rPr>
          <w:rFonts w:ascii="Source Sans Pro" w:eastAsia="Source Sans Pro" w:hAnsi="Source Sans Pro" w:cs="Source Sans Pro"/>
          <w:lang w:val="en-US"/>
        </w:rPr>
      </w:pPr>
      <w:r w:rsidRPr="004B1D11">
        <w:rPr>
          <w:rFonts w:ascii="Source Sans Pro" w:eastAsia="Source Sans Pro" w:hAnsi="Source Sans Pro" w:cs="Source Sans Pro"/>
        </w:rPr>
        <w:t xml:space="preserve">Serman (2023) “Sistema de Tratamiento de Aguas Residuales y Emisarios para las Ciudades de Concepción del Uruguay, Colón y San José”. Informe 4. Etapa 2 – Colón (Rev 1). Consultores SERMAS y Asociados.  Unidad Ejecutora Provincial, Gobernación de Entre Ríos y Banco Interamericano de Desarrollo.  </w:t>
      </w:r>
      <w:r w:rsidRPr="004B1D11">
        <w:rPr>
          <w:rFonts w:ascii="Source Sans Pro" w:eastAsia="Source Sans Pro" w:hAnsi="Source Sans Pro" w:cs="Source Sans Pro"/>
          <w:lang w:val="en-US"/>
        </w:rPr>
        <w:t xml:space="preserve">Mayo. </w:t>
      </w:r>
      <w:r w:rsidRPr="004B1D11">
        <w:rPr>
          <w:rFonts w:ascii="Source Sans Pro" w:eastAsia="Source Sans Pro" w:hAnsi="Source Sans Pro" w:cs="Source Sans Pro"/>
          <w:lang w:val="en-US"/>
        </w:rPr>
        <w:tab/>
      </w:r>
    </w:p>
    <w:p w14:paraId="04E2E7A5" w14:textId="77777777" w:rsidR="008958F7" w:rsidRPr="004B1D11" w:rsidRDefault="005F0953">
      <w:pPr>
        <w:rPr>
          <w:rFonts w:ascii="Source Sans Pro" w:eastAsia="Source Sans Pro" w:hAnsi="Source Sans Pro" w:cs="Source Sans Pro"/>
          <w:highlight w:val="white"/>
        </w:rPr>
      </w:pPr>
      <w:r w:rsidRPr="004B1D11">
        <w:rPr>
          <w:rFonts w:ascii="Source Sans Pro" w:eastAsia="Source Sans Pro" w:hAnsi="Source Sans Pro" w:cs="Source Sans Pro"/>
          <w:highlight w:val="white"/>
          <w:lang w:val="en-US"/>
        </w:rPr>
        <w:t xml:space="preserve">Tellman, B., Sullivan, J. A., Kuhn, C., Kettner, A. J., Doyle, C. S., Brakenridge, G. R., ... </w:t>
      </w:r>
      <w:r w:rsidRPr="004B1D11">
        <w:rPr>
          <w:rFonts w:ascii="Source Sans Pro" w:eastAsia="Source Sans Pro" w:hAnsi="Source Sans Pro" w:cs="Source Sans Pro"/>
          <w:highlight w:val="white"/>
          <w:lang w:val="en-GB"/>
        </w:rPr>
        <w:t xml:space="preserve">&amp; Slayback, D. A. (2021). </w:t>
      </w:r>
      <w:r w:rsidRPr="004B1D11">
        <w:rPr>
          <w:rFonts w:ascii="Source Sans Pro" w:eastAsia="Source Sans Pro" w:hAnsi="Source Sans Pro" w:cs="Source Sans Pro"/>
          <w:highlight w:val="white"/>
          <w:lang w:val="en-US"/>
        </w:rPr>
        <w:t>Satellite imaging reveals increased proportion of population exposed to floods. </w:t>
      </w:r>
      <w:r w:rsidRPr="004B1D11">
        <w:rPr>
          <w:rFonts w:ascii="Source Sans Pro" w:eastAsia="Source Sans Pro" w:hAnsi="Source Sans Pro" w:cs="Source Sans Pro"/>
          <w:i/>
          <w:highlight w:val="white"/>
        </w:rPr>
        <w:t>Nature</w:t>
      </w:r>
      <w:r w:rsidRPr="004B1D11">
        <w:rPr>
          <w:rFonts w:ascii="Source Sans Pro" w:eastAsia="Source Sans Pro" w:hAnsi="Source Sans Pro" w:cs="Source Sans Pro"/>
          <w:highlight w:val="white"/>
        </w:rPr>
        <w:t>, </w:t>
      </w:r>
      <w:r w:rsidRPr="004B1D11">
        <w:rPr>
          <w:rFonts w:ascii="Source Sans Pro" w:eastAsia="Source Sans Pro" w:hAnsi="Source Sans Pro" w:cs="Source Sans Pro"/>
          <w:i/>
          <w:highlight w:val="white"/>
        </w:rPr>
        <w:t>596</w:t>
      </w:r>
      <w:r w:rsidRPr="004B1D11">
        <w:rPr>
          <w:rFonts w:ascii="Source Sans Pro" w:eastAsia="Source Sans Pro" w:hAnsi="Source Sans Pro" w:cs="Source Sans Pro"/>
          <w:highlight w:val="white"/>
        </w:rPr>
        <w:t>(7870), 80-86.</w:t>
      </w:r>
    </w:p>
    <w:p w14:paraId="0FDD5CFE" w14:textId="77777777" w:rsidR="008958F7" w:rsidRPr="004B1D11" w:rsidRDefault="005F0953">
      <w:pPr>
        <w:pageBreakBefore/>
        <w:jc w:val="center"/>
        <w:rPr>
          <w:rFonts w:ascii="Source Sans Pro" w:eastAsia="Source Sans Pro" w:hAnsi="Source Sans Pro" w:cs="Source Sans Pro"/>
          <w:sz w:val="20"/>
          <w:szCs w:val="20"/>
          <w:highlight w:val="white"/>
        </w:rPr>
      </w:pPr>
      <w:r w:rsidRPr="004B1D11">
        <w:rPr>
          <w:rFonts w:ascii="Source Sans Pro" w:eastAsia="Source Sans Pro" w:hAnsi="Source Sans Pro" w:cs="Source Sans Pro"/>
          <w:b/>
          <w:sz w:val="20"/>
          <w:szCs w:val="20"/>
          <w:highlight w:val="white"/>
        </w:rPr>
        <w:lastRenderedPageBreak/>
        <w:t>MAPAS</w:t>
      </w:r>
    </w:p>
    <w:p w14:paraId="3A452AA8"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20"/>
          <w:szCs w:val="20"/>
          <w:highlight w:val="white"/>
        </w:rPr>
      </w:pPr>
      <w:bookmarkStart w:id="9" w:name="_heading=h.2s8eyo1" w:colFirst="0" w:colLast="0"/>
      <w:bookmarkEnd w:id="9"/>
      <w:r w:rsidRPr="004B1D11">
        <w:rPr>
          <w:rFonts w:ascii="Source Sans Pro" w:eastAsia="Source Sans Pro" w:hAnsi="Source Sans Pro" w:cs="Source Sans Pro"/>
          <w:b/>
          <w:sz w:val="18"/>
          <w:szCs w:val="18"/>
        </w:rPr>
        <w:t xml:space="preserve"> Mapa 1. Área de inundación, días de duración y áreas permanentes (ríos) en el Departamento de Colón con base en el modelo Tellman.</w:t>
      </w:r>
      <w:r w:rsidRPr="004B1D11">
        <w:rPr>
          <w:noProof/>
        </w:rPr>
        <w:drawing>
          <wp:anchor distT="0" distB="0" distL="114300" distR="114300" simplePos="0" relativeHeight="251658240" behindDoc="0" locked="0" layoutInCell="1" hidden="0" allowOverlap="1" wp14:anchorId="53BD6EF6" wp14:editId="2556AC75">
            <wp:simplePos x="0" y="0"/>
            <wp:positionH relativeFrom="column">
              <wp:posOffset>32122</wp:posOffset>
            </wp:positionH>
            <wp:positionV relativeFrom="paragraph">
              <wp:posOffset>0</wp:posOffset>
            </wp:positionV>
            <wp:extent cx="5341620" cy="7556500"/>
            <wp:effectExtent l="0" t="0" r="0" b="0"/>
            <wp:wrapTopAndBottom distT="0" distB="0"/>
            <wp:docPr id="2108616910" name="image14.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4.jpg" descr="Mapa&#10;&#10;Descripción generada automáticamente"/>
                    <pic:cNvPicPr preferRelativeResize="0"/>
                  </pic:nvPicPr>
                  <pic:blipFill>
                    <a:blip r:embed="rId14"/>
                    <a:srcRect/>
                    <a:stretch>
                      <a:fillRect/>
                    </a:stretch>
                  </pic:blipFill>
                  <pic:spPr>
                    <a:xfrm>
                      <a:off x="0" y="0"/>
                      <a:ext cx="5341620" cy="7556500"/>
                    </a:xfrm>
                    <a:prstGeom prst="rect">
                      <a:avLst/>
                    </a:prstGeom>
                    <a:ln/>
                  </pic:spPr>
                </pic:pic>
              </a:graphicData>
            </a:graphic>
          </wp:anchor>
        </w:drawing>
      </w:r>
    </w:p>
    <w:p w14:paraId="0A823338"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10" w:name="_heading=h.17dp8vu" w:colFirst="0" w:colLast="0"/>
      <w:bookmarkEnd w:id="10"/>
      <w:r w:rsidRPr="004B1D11">
        <w:rPr>
          <w:rFonts w:ascii="Source Sans Pro" w:eastAsia="Source Sans Pro" w:hAnsi="Source Sans Pro" w:cs="Source Sans Pro"/>
          <w:b/>
          <w:sz w:val="18"/>
          <w:szCs w:val="18"/>
        </w:rPr>
        <w:lastRenderedPageBreak/>
        <w:t xml:space="preserve">Mapa 2. Área de inundación, días de duración y áreas permanentes (ríos) en el Departamento de Concordia con base en el modelo Tellman. </w:t>
      </w:r>
      <w:r w:rsidRPr="004B1D11">
        <w:rPr>
          <w:rFonts w:ascii="Source Sans Pro" w:eastAsia="Source Sans Pro" w:hAnsi="Source Sans Pro" w:cs="Source Sans Pro"/>
          <w:b/>
          <w:szCs w:val="18"/>
        </w:rPr>
        <w:t>falta referencia (leyenda) s/el mapa</w:t>
      </w:r>
      <w:r w:rsidRPr="004B1D11">
        <w:rPr>
          <w:noProof/>
        </w:rPr>
        <w:drawing>
          <wp:anchor distT="0" distB="0" distL="114300" distR="114300" simplePos="0" relativeHeight="251659264" behindDoc="0" locked="0" layoutInCell="1" hidden="0" allowOverlap="1" wp14:anchorId="0922DD39" wp14:editId="198D8995">
            <wp:simplePos x="0" y="0"/>
            <wp:positionH relativeFrom="column">
              <wp:posOffset>-1832</wp:posOffset>
            </wp:positionH>
            <wp:positionV relativeFrom="paragraph">
              <wp:posOffset>527</wp:posOffset>
            </wp:positionV>
            <wp:extent cx="5400040" cy="7639050"/>
            <wp:effectExtent l="0" t="0" r="0" b="0"/>
            <wp:wrapTopAndBottom distT="0" distB="0"/>
            <wp:docPr id="210861690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a:stretch>
                      <a:fillRect/>
                    </a:stretch>
                  </pic:blipFill>
                  <pic:spPr>
                    <a:xfrm>
                      <a:off x="0" y="0"/>
                      <a:ext cx="5400040" cy="7639050"/>
                    </a:xfrm>
                    <a:prstGeom prst="rect">
                      <a:avLst/>
                    </a:prstGeom>
                    <a:ln/>
                  </pic:spPr>
                </pic:pic>
              </a:graphicData>
            </a:graphic>
          </wp:anchor>
        </w:drawing>
      </w:r>
    </w:p>
    <w:p w14:paraId="3FF3AA0F" w14:textId="77777777" w:rsidR="008958F7" w:rsidRPr="004B1D11" w:rsidRDefault="005F0953">
      <w:pPr>
        <w:jc w:val="center"/>
        <w:rPr>
          <w:rFonts w:ascii="Source Sans Pro" w:eastAsia="Source Sans Pro" w:hAnsi="Source Sans Pro" w:cs="Source Sans Pro"/>
          <w:b/>
        </w:rPr>
      </w:pPr>
      <w:r w:rsidRPr="004B1D11">
        <w:rPr>
          <w:rFonts w:ascii="Source Sans Pro" w:eastAsia="Source Sans Pro" w:hAnsi="Source Sans Pro" w:cs="Source Sans Pro"/>
          <w:b/>
          <w:noProof/>
        </w:rPr>
        <w:lastRenderedPageBreak/>
        <w:drawing>
          <wp:inline distT="0" distB="0" distL="0" distR="0" wp14:anchorId="65E3E39B" wp14:editId="729FA046">
            <wp:extent cx="5400040" cy="7639050"/>
            <wp:effectExtent l="0" t="0" r="0" b="0"/>
            <wp:docPr id="2108616900"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6"/>
                    <a:srcRect/>
                    <a:stretch>
                      <a:fillRect/>
                    </a:stretch>
                  </pic:blipFill>
                  <pic:spPr>
                    <a:xfrm>
                      <a:off x="0" y="0"/>
                      <a:ext cx="5400040" cy="7639050"/>
                    </a:xfrm>
                    <a:prstGeom prst="rect">
                      <a:avLst/>
                    </a:prstGeom>
                    <a:ln/>
                  </pic:spPr>
                </pic:pic>
              </a:graphicData>
            </a:graphic>
          </wp:inline>
        </w:drawing>
      </w:r>
    </w:p>
    <w:p w14:paraId="01CFDC91"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11" w:name="_heading=h.3rdcrjn" w:colFirst="0" w:colLast="0"/>
      <w:bookmarkEnd w:id="11"/>
      <w:r w:rsidRPr="004B1D11">
        <w:rPr>
          <w:rFonts w:ascii="Source Sans Pro" w:eastAsia="Source Sans Pro" w:hAnsi="Source Sans Pro" w:cs="Source Sans Pro"/>
          <w:b/>
          <w:sz w:val="18"/>
          <w:szCs w:val="18"/>
        </w:rPr>
        <w:t>Mapa 3. Área de inundación, días de duración y áreas permanentes (ríos) en el Departamento de Uruguay con base en el modelo Tellman.</w:t>
      </w:r>
    </w:p>
    <w:p w14:paraId="1E4D555C"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17D0641F"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309DBE7F"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2EA1E1AF"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12" w:name="_heading=h.26in1rg" w:colFirst="0" w:colLast="0"/>
      <w:bookmarkEnd w:id="12"/>
      <w:r w:rsidRPr="004B1D11">
        <w:rPr>
          <w:rFonts w:ascii="Source Sans Pro" w:eastAsia="Source Sans Pro" w:hAnsi="Source Sans Pro" w:cs="Source Sans Pro"/>
          <w:b/>
          <w:sz w:val="18"/>
          <w:szCs w:val="18"/>
        </w:rPr>
        <w:t xml:space="preserve"> Mapa 4. Áreas Potencialmente Inundables (API) usando modelos Tellman y Pekel para el Departamento de Colón</w:t>
      </w:r>
      <w:r w:rsidRPr="004B1D11">
        <w:rPr>
          <w:noProof/>
        </w:rPr>
        <w:drawing>
          <wp:anchor distT="0" distB="0" distL="114300" distR="114300" simplePos="0" relativeHeight="251660288" behindDoc="0" locked="0" layoutInCell="1" hidden="0" allowOverlap="1" wp14:anchorId="70D49E01" wp14:editId="27BE80E1">
            <wp:simplePos x="0" y="0"/>
            <wp:positionH relativeFrom="column">
              <wp:posOffset>-1903</wp:posOffset>
            </wp:positionH>
            <wp:positionV relativeFrom="paragraph">
              <wp:posOffset>0</wp:posOffset>
            </wp:positionV>
            <wp:extent cx="5400040" cy="7639050"/>
            <wp:effectExtent l="0" t="0" r="0" b="0"/>
            <wp:wrapTopAndBottom distT="0" distB="0"/>
            <wp:docPr id="210861689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7"/>
                    <a:srcRect/>
                    <a:stretch>
                      <a:fillRect/>
                    </a:stretch>
                  </pic:blipFill>
                  <pic:spPr>
                    <a:xfrm>
                      <a:off x="0" y="0"/>
                      <a:ext cx="5400040" cy="7639050"/>
                    </a:xfrm>
                    <a:prstGeom prst="rect">
                      <a:avLst/>
                    </a:prstGeom>
                    <a:ln/>
                  </pic:spPr>
                </pic:pic>
              </a:graphicData>
            </a:graphic>
          </wp:anchor>
        </w:drawing>
      </w:r>
    </w:p>
    <w:p w14:paraId="135BBE5C"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13" w:name="_heading=h.lnxbz9" w:colFirst="0" w:colLast="0"/>
      <w:bookmarkEnd w:id="13"/>
      <w:r w:rsidRPr="004B1D11">
        <w:rPr>
          <w:rFonts w:ascii="Source Sans Pro" w:eastAsia="Source Sans Pro" w:hAnsi="Source Sans Pro" w:cs="Source Sans Pro"/>
          <w:b/>
          <w:sz w:val="18"/>
          <w:szCs w:val="18"/>
        </w:rPr>
        <w:lastRenderedPageBreak/>
        <w:t xml:space="preserve">Mapa 5. Áreas Potencialmente Inundables (API) usando modelos Tellman y Pekel para el Departamento de Concordia </w:t>
      </w:r>
      <w:r w:rsidRPr="004B1D11">
        <w:rPr>
          <w:noProof/>
        </w:rPr>
        <w:drawing>
          <wp:anchor distT="0" distB="0" distL="114300" distR="114300" simplePos="0" relativeHeight="251661312" behindDoc="0" locked="0" layoutInCell="1" hidden="0" allowOverlap="1" wp14:anchorId="5262FC99" wp14:editId="3A8150A6">
            <wp:simplePos x="0" y="0"/>
            <wp:positionH relativeFrom="column">
              <wp:posOffset>-1832</wp:posOffset>
            </wp:positionH>
            <wp:positionV relativeFrom="paragraph">
              <wp:posOffset>527</wp:posOffset>
            </wp:positionV>
            <wp:extent cx="5400040" cy="7639050"/>
            <wp:effectExtent l="0" t="0" r="0" b="0"/>
            <wp:wrapTopAndBottom distT="0" distB="0"/>
            <wp:docPr id="2108616899" name="image15.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5.jpg" descr="Mapa&#10;&#10;Descripción generada automáticamente"/>
                    <pic:cNvPicPr preferRelativeResize="0"/>
                  </pic:nvPicPr>
                  <pic:blipFill>
                    <a:blip r:embed="rId18"/>
                    <a:srcRect/>
                    <a:stretch>
                      <a:fillRect/>
                    </a:stretch>
                  </pic:blipFill>
                  <pic:spPr>
                    <a:xfrm>
                      <a:off x="0" y="0"/>
                      <a:ext cx="5400040" cy="7639050"/>
                    </a:xfrm>
                    <a:prstGeom prst="rect">
                      <a:avLst/>
                    </a:prstGeom>
                    <a:ln/>
                  </pic:spPr>
                </pic:pic>
              </a:graphicData>
            </a:graphic>
          </wp:anchor>
        </w:drawing>
      </w:r>
    </w:p>
    <w:p w14:paraId="41A28359"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r w:rsidRPr="004B1D11">
        <w:rPr>
          <w:rFonts w:ascii="Source Sans Pro" w:eastAsia="Source Sans Pro" w:hAnsi="Source Sans Pro" w:cs="Source Sans Pro"/>
          <w:b/>
          <w:noProof/>
          <w:sz w:val="18"/>
          <w:szCs w:val="18"/>
        </w:rPr>
        <w:lastRenderedPageBreak/>
        <w:drawing>
          <wp:inline distT="0" distB="0" distL="0" distR="0" wp14:anchorId="0DFFCCB2" wp14:editId="295C7AB8">
            <wp:extent cx="5400040" cy="7639050"/>
            <wp:effectExtent l="0" t="0" r="0" b="0"/>
            <wp:docPr id="2108616902" name="image6.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6.jpg" descr="Mapa&#10;&#10;Descripción generada automáticamente"/>
                    <pic:cNvPicPr preferRelativeResize="0"/>
                  </pic:nvPicPr>
                  <pic:blipFill>
                    <a:blip r:embed="rId19"/>
                    <a:srcRect/>
                    <a:stretch>
                      <a:fillRect/>
                    </a:stretch>
                  </pic:blipFill>
                  <pic:spPr>
                    <a:xfrm>
                      <a:off x="0" y="0"/>
                      <a:ext cx="5400040" cy="7639050"/>
                    </a:xfrm>
                    <a:prstGeom prst="rect">
                      <a:avLst/>
                    </a:prstGeom>
                    <a:ln/>
                  </pic:spPr>
                </pic:pic>
              </a:graphicData>
            </a:graphic>
          </wp:inline>
        </w:drawing>
      </w:r>
    </w:p>
    <w:p w14:paraId="1295C274"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14" w:name="_heading=h.35nkun2" w:colFirst="0" w:colLast="0"/>
      <w:bookmarkEnd w:id="14"/>
      <w:r w:rsidRPr="004B1D11">
        <w:rPr>
          <w:rFonts w:ascii="Source Sans Pro" w:eastAsia="Source Sans Pro" w:hAnsi="Source Sans Pro" w:cs="Source Sans Pro"/>
          <w:b/>
          <w:sz w:val="18"/>
          <w:szCs w:val="18"/>
        </w:rPr>
        <w:t>Mapa 6. Áreas Potencialmente Inundables (API) usando modelos Tellman y Pekel para el Departamento de Gualeguaychú</w:t>
      </w:r>
    </w:p>
    <w:p w14:paraId="16519CCE"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r w:rsidRPr="004B1D11">
        <w:rPr>
          <w:rFonts w:ascii="Source Sans Pro" w:eastAsia="Source Sans Pro" w:hAnsi="Source Sans Pro" w:cs="Source Sans Pro"/>
          <w:b/>
          <w:noProof/>
          <w:sz w:val="18"/>
          <w:szCs w:val="18"/>
        </w:rPr>
        <w:lastRenderedPageBreak/>
        <w:drawing>
          <wp:inline distT="0" distB="0" distL="0" distR="0" wp14:anchorId="5BDCA535" wp14:editId="3ABABD38">
            <wp:extent cx="5400040" cy="7639050"/>
            <wp:effectExtent l="0" t="0" r="0" b="0"/>
            <wp:docPr id="2108616905" name="image13.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3.jpg" descr="Mapa&#10;&#10;Descripción generada automáticamente"/>
                    <pic:cNvPicPr preferRelativeResize="0"/>
                  </pic:nvPicPr>
                  <pic:blipFill>
                    <a:blip r:embed="rId20"/>
                    <a:srcRect/>
                    <a:stretch>
                      <a:fillRect/>
                    </a:stretch>
                  </pic:blipFill>
                  <pic:spPr>
                    <a:xfrm>
                      <a:off x="0" y="0"/>
                      <a:ext cx="5400040" cy="7639050"/>
                    </a:xfrm>
                    <a:prstGeom prst="rect">
                      <a:avLst/>
                    </a:prstGeom>
                    <a:ln/>
                  </pic:spPr>
                </pic:pic>
              </a:graphicData>
            </a:graphic>
          </wp:inline>
        </w:drawing>
      </w:r>
    </w:p>
    <w:p w14:paraId="53F95B4F"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15" w:name="_heading=h.1ksv4uv" w:colFirst="0" w:colLast="0"/>
      <w:bookmarkEnd w:id="15"/>
      <w:r w:rsidRPr="004B1D11">
        <w:rPr>
          <w:rFonts w:ascii="Source Sans Pro" w:eastAsia="Source Sans Pro" w:hAnsi="Source Sans Pro" w:cs="Source Sans Pro"/>
          <w:b/>
          <w:sz w:val="18"/>
          <w:szCs w:val="18"/>
        </w:rPr>
        <w:t>Mapa 7. Áreas Potencialmente Inundables (API) usando modelos Tellman y Pekel para el Departamento de Uruguay</w:t>
      </w:r>
    </w:p>
    <w:p w14:paraId="2030C2B0"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09A99D60"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4B0731A2"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6E07F1CF"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r w:rsidRPr="004B1D11">
        <w:rPr>
          <w:rFonts w:ascii="Source Sans Pro" w:eastAsia="Source Sans Pro" w:hAnsi="Source Sans Pro" w:cs="Source Sans Pro"/>
          <w:b/>
          <w:noProof/>
          <w:sz w:val="18"/>
          <w:szCs w:val="18"/>
        </w:rPr>
        <w:lastRenderedPageBreak/>
        <w:drawing>
          <wp:inline distT="0" distB="0" distL="0" distR="0" wp14:anchorId="28F9D474" wp14:editId="13582815">
            <wp:extent cx="5400040" cy="7639050"/>
            <wp:effectExtent l="0" t="0" r="0" b="0"/>
            <wp:docPr id="2108616903" name="image3.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3.jpg" descr="Mapa&#10;&#10;Descripción generada automáticamente"/>
                    <pic:cNvPicPr preferRelativeResize="0"/>
                  </pic:nvPicPr>
                  <pic:blipFill>
                    <a:blip r:embed="rId21"/>
                    <a:srcRect/>
                    <a:stretch>
                      <a:fillRect/>
                    </a:stretch>
                  </pic:blipFill>
                  <pic:spPr>
                    <a:xfrm>
                      <a:off x="0" y="0"/>
                      <a:ext cx="5400040" cy="7639050"/>
                    </a:xfrm>
                    <a:prstGeom prst="rect">
                      <a:avLst/>
                    </a:prstGeom>
                    <a:ln/>
                  </pic:spPr>
                </pic:pic>
              </a:graphicData>
            </a:graphic>
          </wp:inline>
        </w:drawing>
      </w:r>
    </w:p>
    <w:p w14:paraId="41D489DC"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16" w:name="_heading=h.44sinio" w:colFirst="0" w:colLast="0"/>
      <w:bookmarkEnd w:id="16"/>
      <w:r w:rsidRPr="004B1D11">
        <w:rPr>
          <w:rFonts w:ascii="Source Sans Pro" w:eastAsia="Source Sans Pro" w:hAnsi="Source Sans Pro" w:cs="Source Sans Pro"/>
          <w:b/>
          <w:sz w:val="18"/>
          <w:szCs w:val="18"/>
        </w:rPr>
        <w:t>Mapa 8. Áreas Potencialmente Inundables (API) a partir de la Cota Regional (18 m) sobre el área de estudio.</w:t>
      </w:r>
    </w:p>
    <w:p w14:paraId="11B999E9"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18524315"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26E44264"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1DD3ADED"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r w:rsidRPr="004B1D11">
        <w:rPr>
          <w:rFonts w:ascii="Source Sans Pro" w:eastAsia="Source Sans Pro" w:hAnsi="Source Sans Pro" w:cs="Source Sans Pro"/>
          <w:b/>
          <w:noProof/>
          <w:sz w:val="18"/>
          <w:szCs w:val="18"/>
        </w:rPr>
        <w:lastRenderedPageBreak/>
        <w:drawing>
          <wp:inline distT="0" distB="0" distL="0" distR="0" wp14:anchorId="38065B1C" wp14:editId="66E224D3">
            <wp:extent cx="5400040" cy="7639050"/>
            <wp:effectExtent l="0" t="0" r="0" b="0"/>
            <wp:docPr id="2108616904" name="image12.jpg" descr="Imagen que contiene animal, reptil&#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2.jpg" descr="Imagen que contiene animal, reptil&#10;&#10;Descripción generada automáticamente"/>
                    <pic:cNvPicPr preferRelativeResize="0"/>
                  </pic:nvPicPr>
                  <pic:blipFill>
                    <a:blip r:embed="rId22"/>
                    <a:srcRect/>
                    <a:stretch>
                      <a:fillRect/>
                    </a:stretch>
                  </pic:blipFill>
                  <pic:spPr>
                    <a:xfrm>
                      <a:off x="0" y="0"/>
                      <a:ext cx="5400040" cy="7639050"/>
                    </a:xfrm>
                    <a:prstGeom prst="rect">
                      <a:avLst/>
                    </a:prstGeom>
                    <a:ln/>
                  </pic:spPr>
                </pic:pic>
              </a:graphicData>
            </a:graphic>
          </wp:inline>
        </w:drawing>
      </w:r>
    </w:p>
    <w:p w14:paraId="5CC42E65"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17" w:name="_heading=h.2jxsxqh" w:colFirst="0" w:colLast="0"/>
      <w:bookmarkEnd w:id="17"/>
      <w:r w:rsidRPr="004B1D11">
        <w:rPr>
          <w:rFonts w:ascii="Source Sans Pro" w:eastAsia="Source Sans Pro" w:hAnsi="Source Sans Pro" w:cs="Source Sans Pro"/>
          <w:b/>
          <w:sz w:val="18"/>
          <w:szCs w:val="18"/>
        </w:rPr>
        <w:t>Mapa 9. Áreas Potencialmente Inundables (API) a partir de la Cota API (18 m) sobre las localidades de Concordia, Puerto Yeruá y Nueva Escocia.</w:t>
      </w:r>
    </w:p>
    <w:p w14:paraId="6D34B59A"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1A27B7C7"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00C21740" w14:textId="77777777" w:rsidR="008958F7" w:rsidRPr="004B1D11" w:rsidRDefault="008958F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3102B071"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r w:rsidRPr="004B1D11">
        <w:rPr>
          <w:rFonts w:ascii="Source Sans Pro" w:eastAsia="Source Sans Pro" w:hAnsi="Source Sans Pro" w:cs="Source Sans Pro"/>
          <w:b/>
          <w:noProof/>
          <w:sz w:val="18"/>
          <w:szCs w:val="18"/>
        </w:rPr>
        <w:lastRenderedPageBreak/>
        <w:drawing>
          <wp:inline distT="0" distB="0" distL="0" distR="0" wp14:anchorId="0CABA2D3" wp14:editId="2F9228E8">
            <wp:extent cx="5400040" cy="7639050"/>
            <wp:effectExtent l="0" t="0" r="0" b="0"/>
            <wp:docPr id="2108616906" name="image11.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1.jpg" descr="Mapa&#10;&#10;Descripción generada automáticamente"/>
                    <pic:cNvPicPr preferRelativeResize="0"/>
                  </pic:nvPicPr>
                  <pic:blipFill>
                    <a:blip r:embed="rId23"/>
                    <a:srcRect/>
                    <a:stretch>
                      <a:fillRect/>
                    </a:stretch>
                  </pic:blipFill>
                  <pic:spPr>
                    <a:xfrm>
                      <a:off x="0" y="0"/>
                      <a:ext cx="5400040" cy="7639050"/>
                    </a:xfrm>
                    <a:prstGeom prst="rect">
                      <a:avLst/>
                    </a:prstGeom>
                    <a:ln/>
                  </pic:spPr>
                </pic:pic>
              </a:graphicData>
            </a:graphic>
          </wp:inline>
        </w:drawing>
      </w:r>
    </w:p>
    <w:p w14:paraId="4F37AFC0"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18" w:name="_heading=h.z337ya" w:colFirst="0" w:colLast="0"/>
      <w:bookmarkEnd w:id="18"/>
      <w:r w:rsidRPr="004B1D11">
        <w:rPr>
          <w:rFonts w:ascii="Source Sans Pro" w:eastAsia="Source Sans Pro" w:hAnsi="Source Sans Pro" w:cs="Source Sans Pro"/>
          <w:b/>
          <w:sz w:val="18"/>
          <w:szCs w:val="18"/>
        </w:rPr>
        <w:t>Mapa 10. Áreas Potencialmente Inundables (API) a partir de la Cota API (12 m) sobre las localidades de Colón y Pueblo Lieblig.</w:t>
      </w:r>
    </w:p>
    <w:p w14:paraId="58345C3B" w14:textId="77777777" w:rsidR="00F315C7" w:rsidRPr="004B1D11" w:rsidRDefault="00F315C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372459A8" w14:textId="20FF7B47" w:rsidR="00F315C7" w:rsidRPr="004B1D11" w:rsidRDefault="00F315C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r w:rsidRPr="004B1D11">
        <w:rPr>
          <w:rFonts w:ascii="Source Sans Pro" w:eastAsia="Source Sans Pro" w:hAnsi="Source Sans Pro" w:cs="Source Sans Pro"/>
          <w:b/>
          <w:noProof/>
          <w:sz w:val="18"/>
          <w:szCs w:val="18"/>
        </w:rPr>
        <w:lastRenderedPageBreak/>
        <w:drawing>
          <wp:inline distT="0" distB="0" distL="0" distR="0" wp14:anchorId="04291A34" wp14:editId="6070DAEF">
            <wp:extent cx="4769485" cy="6746875"/>
            <wp:effectExtent l="0" t="0" r="0" b="0"/>
            <wp:docPr id="18895917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591769" name="Imagen 188959176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69485" cy="6746875"/>
                    </a:xfrm>
                    <a:prstGeom prst="rect">
                      <a:avLst/>
                    </a:prstGeom>
                  </pic:spPr>
                </pic:pic>
              </a:graphicData>
            </a:graphic>
          </wp:inline>
        </w:drawing>
      </w:r>
    </w:p>
    <w:p w14:paraId="3A5440A3" w14:textId="77777777" w:rsidR="00F315C7" w:rsidRPr="004B1D11" w:rsidRDefault="00F315C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2D09455C" w14:textId="7C163993" w:rsidR="00F315C7" w:rsidRPr="004B1D11" w:rsidRDefault="00F315C7" w:rsidP="00F315C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r w:rsidRPr="004B1D11">
        <w:rPr>
          <w:rFonts w:ascii="Source Sans Pro" w:eastAsia="Source Sans Pro" w:hAnsi="Source Sans Pro" w:cs="Source Sans Pro"/>
          <w:b/>
          <w:sz w:val="18"/>
          <w:szCs w:val="18"/>
        </w:rPr>
        <w:t>Mapa 10a. Áreas Potencialmente Inundables (API) a partir de la Cota API (18 m) sobre el Parque Nacional El Palmar (Colón, ER)</w:t>
      </w:r>
    </w:p>
    <w:p w14:paraId="3D0612BA" w14:textId="77777777" w:rsidR="00F315C7" w:rsidRPr="004B1D11" w:rsidRDefault="00F315C7">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p>
    <w:p w14:paraId="265E2FC8"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r w:rsidRPr="004B1D11">
        <w:rPr>
          <w:rFonts w:ascii="Source Sans Pro" w:eastAsia="Source Sans Pro" w:hAnsi="Source Sans Pro" w:cs="Source Sans Pro"/>
          <w:b/>
          <w:noProof/>
          <w:sz w:val="18"/>
          <w:szCs w:val="18"/>
        </w:rPr>
        <w:lastRenderedPageBreak/>
        <w:drawing>
          <wp:inline distT="0" distB="0" distL="0" distR="0" wp14:anchorId="15382539" wp14:editId="25F8C67D">
            <wp:extent cx="5400040" cy="7639050"/>
            <wp:effectExtent l="0" t="0" r="0" b="0"/>
            <wp:docPr id="2108616907" name="image9.jpg" descr="Map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9.jpg" descr="Mapa&#10;&#10;Descripción generada automáticamente"/>
                    <pic:cNvPicPr preferRelativeResize="0"/>
                  </pic:nvPicPr>
                  <pic:blipFill>
                    <a:blip r:embed="rId25"/>
                    <a:srcRect/>
                    <a:stretch>
                      <a:fillRect/>
                    </a:stretch>
                  </pic:blipFill>
                  <pic:spPr>
                    <a:xfrm>
                      <a:off x="0" y="0"/>
                      <a:ext cx="5400040" cy="7639050"/>
                    </a:xfrm>
                    <a:prstGeom prst="rect">
                      <a:avLst/>
                    </a:prstGeom>
                    <a:ln/>
                  </pic:spPr>
                </pic:pic>
              </a:graphicData>
            </a:graphic>
          </wp:inline>
        </w:drawing>
      </w:r>
    </w:p>
    <w:p w14:paraId="065BD158"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19" w:name="_heading=h.3j2qqm3" w:colFirst="0" w:colLast="0"/>
      <w:bookmarkEnd w:id="19"/>
      <w:r w:rsidRPr="004B1D11">
        <w:rPr>
          <w:rFonts w:ascii="Source Sans Pro" w:eastAsia="Source Sans Pro" w:hAnsi="Source Sans Pro" w:cs="Source Sans Pro"/>
          <w:b/>
          <w:sz w:val="18"/>
          <w:szCs w:val="18"/>
        </w:rPr>
        <w:t>Mapa 11. Áreas Potencialmente Inundables (API) a partir de la Cota API (9 m) sobre la localidad de Concepción del Uruguay.</w:t>
      </w:r>
    </w:p>
    <w:p w14:paraId="0B7ACD9A"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r w:rsidRPr="004B1D11">
        <w:rPr>
          <w:rFonts w:ascii="Source Sans Pro" w:eastAsia="Source Sans Pro" w:hAnsi="Source Sans Pro" w:cs="Source Sans Pro"/>
          <w:b/>
          <w:noProof/>
          <w:sz w:val="18"/>
          <w:szCs w:val="18"/>
        </w:rPr>
        <w:lastRenderedPageBreak/>
        <w:drawing>
          <wp:inline distT="0" distB="0" distL="0" distR="0" wp14:anchorId="53E36786" wp14:editId="56076FC5">
            <wp:extent cx="5400040" cy="7639050"/>
            <wp:effectExtent l="0" t="0" r="0" b="0"/>
            <wp:docPr id="210861690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6"/>
                    <a:srcRect/>
                    <a:stretch>
                      <a:fillRect/>
                    </a:stretch>
                  </pic:blipFill>
                  <pic:spPr>
                    <a:xfrm>
                      <a:off x="0" y="0"/>
                      <a:ext cx="5400040" cy="7639050"/>
                    </a:xfrm>
                    <a:prstGeom prst="rect">
                      <a:avLst/>
                    </a:prstGeom>
                    <a:ln/>
                  </pic:spPr>
                </pic:pic>
              </a:graphicData>
            </a:graphic>
          </wp:inline>
        </w:drawing>
      </w:r>
    </w:p>
    <w:p w14:paraId="012E3C01" w14:textId="77777777" w:rsidR="008958F7" w:rsidRPr="004B1D11" w:rsidRDefault="005F0953">
      <w:pPr>
        <w:pBdr>
          <w:top w:val="nil"/>
          <w:left w:val="nil"/>
          <w:bottom w:val="nil"/>
          <w:right w:val="nil"/>
          <w:between w:val="nil"/>
        </w:pBdr>
        <w:spacing w:after="0" w:line="240" w:lineRule="auto"/>
        <w:jc w:val="center"/>
        <w:rPr>
          <w:rFonts w:ascii="Source Sans Pro" w:eastAsia="Source Sans Pro" w:hAnsi="Source Sans Pro" w:cs="Source Sans Pro"/>
          <w:b/>
          <w:sz w:val="18"/>
          <w:szCs w:val="18"/>
        </w:rPr>
      </w:pPr>
      <w:bookmarkStart w:id="20" w:name="_heading=h.1y810tw" w:colFirst="0" w:colLast="0"/>
      <w:bookmarkEnd w:id="20"/>
      <w:r w:rsidRPr="004B1D11">
        <w:rPr>
          <w:rFonts w:ascii="Source Sans Pro" w:eastAsia="Source Sans Pro" w:hAnsi="Source Sans Pro" w:cs="Source Sans Pro"/>
          <w:b/>
          <w:sz w:val="18"/>
          <w:szCs w:val="18"/>
        </w:rPr>
        <w:t>Mapa 12. Áreas Potencialmente Inundables (API) a partir de la Cota API (7 m) sobre las localidades de Gualeguaychú y Pueblo General Belgrano.</w:t>
      </w:r>
    </w:p>
    <w:p w14:paraId="65C0A889" w14:textId="77777777" w:rsidR="008958F7" w:rsidRPr="004B1D11" w:rsidRDefault="008958F7">
      <w:pPr>
        <w:pBdr>
          <w:top w:val="nil"/>
          <w:left w:val="nil"/>
          <w:bottom w:val="nil"/>
          <w:right w:val="nil"/>
          <w:between w:val="nil"/>
        </w:pBdr>
        <w:shd w:val="clear" w:color="auto" w:fill="FFFFFF"/>
        <w:spacing w:after="225" w:line="240" w:lineRule="auto"/>
        <w:jc w:val="both"/>
        <w:rPr>
          <w:rFonts w:ascii="Open Sans" w:eastAsia="Open Sans" w:hAnsi="Open Sans" w:cs="Open Sans"/>
          <w:b/>
          <w:sz w:val="20"/>
          <w:szCs w:val="20"/>
        </w:rPr>
      </w:pPr>
    </w:p>
    <w:sectPr w:rsidR="008958F7" w:rsidRPr="004B1D11">
      <w:headerReference w:type="default" r:id="rId27"/>
      <w:footerReference w:type="default" r:id="rId28"/>
      <w:pgSz w:w="11906" w:h="16838"/>
      <w:pgMar w:top="2127" w:right="1701" w:bottom="1417" w:left="269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9CA803" w14:textId="77777777" w:rsidR="00E65149" w:rsidRDefault="00E65149">
      <w:pPr>
        <w:spacing w:after="0" w:line="240" w:lineRule="auto"/>
      </w:pPr>
      <w:r>
        <w:separator/>
      </w:r>
    </w:p>
  </w:endnote>
  <w:endnote w:type="continuationSeparator" w:id="0">
    <w:p w14:paraId="0096C624" w14:textId="77777777" w:rsidR="00E65149" w:rsidRDefault="00E651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pen Sans">
    <w:altName w:val="Segoe UI"/>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ource Sans Pro">
    <w:altName w:val="Source Sans Pro"/>
    <w:charset w:val="00"/>
    <w:family w:val="swiss"/>
    <w:pitch w:val="variable"/>
    <w:sig w:usb0="600002F7" w:usb1="02000001" w:usb2="00000000" w:usb3="00000000" w:csb0="0000019F" w:csb1="00000000"/>
  </w:font>
  <w:font w:name="Quattrocento Sans">
    <w:charset w:val="00"/>
    <w:family w:val="swiss"/>
    <w:pitch w:val="variable"/>
    <w:sig w:usb0="800000BF" w:usb1="4000005B"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F32F4" w14:textId="7CD1BCEC" w:rsidR="008958F7" w:rsidRDefault="005F0953">
    <w:pPr>
      <w:pBdr>
        <w:top w:val="nil"/>
        <w:left w:val="nil"/>
        <w:bottom w:val="nil"/>
        <w:right w:val="nil"/>
        <w:between w:val="nil"/>
      </w:pBdr>
      <w:tabs>
        <w:tab w:val="center" w:pos="4252"/>
        <w:tab w:val="right" w:pos="8504"/>
      </w:tabs>
      <w:spacing w:after="0" w:line="240" w:lineRule="auto"/>
      <w:ind w:left="-1701"/>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1F0821">
      <w:rPr>
        <w:noProof/>
        <w:color w:val="000000"/>
        <w:sz w:val="18"/>
        <w:szCs w:val="18"/>
      </w:rPr>
      <w:t>1</w:t>
    </w:r>
    <w:r>
      <w:rPr>
        <w:color w:val="000000"/>
        <w:sz w:val="18"/>
        <w:szCs w:val="18"/>
      </w:rPr>
      <w:fldChar w:fldCharType="end"/>
    </w:r>
    <w:r>
      <w:rPr>
        <w:noProof/>
      </w:rPr>
      <w:drawing>
        <wp:anchor distT="0" distB="0" distL="0" distR="0" simplePos="0" relativeHeight="251659264" behindDoc="1" locked="0" layoutInCell="1" hidden="0" allowOverlap="1" wp14:anchorId="279D7BCA" wp14:editId="5FA2C634">
          <wp:simplePos x="0" y="0"/>
          <wp:positionH relativeFrom="column">
            <wp:posOffset>-1814828</wp:posOffset>
          </wp:positionH>
          <wp:positionV relativeFrom="paragraph">
            <wp:posOffset>-441959</wp:posOffset>
          </wp:positionV>
          <wp:extent cx="7625198" cy="971550"/>
          <wp:effectExtent l="0" t="0" r="0" b="0"/>
          <wp:wrapNone/>
          <wp:docPr id="2108616901" name="image1.jpg" descr="Interfaz de usuario gráfica, Aplicación, Word&#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jpg" descr="Interfaz de usuario gráfica, Aplicación, Word&#10;&#10;Descripción generada automáticamente"/>
                  <pic:cNvPicPr preferRelativeResize="0"/>
                </pic:nvPicPr>
                <pic:blipFill>
                  <a:blip r:embed="rId1"/>
                  <a:srcRect/>
                  <a:stretch>
                    <a:fillRect/>
                  </a:stretch>
                </pic:blipFill>
                <pic:spPr>
                  <a:xfrm>
                    <a:off x="0" y="0"/>
                    <a:ext cx="7625198" cy="97155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CEE886" w14:textId="77777777" w:rsidR="00E65149" w:rsidRDefault="00E65149">
      <w:pPr>
        <w:spacing w:after="0" w:line="240" w:lineRule="auto"/>
      </w:pPr>
      <w:r>
        <w:separator/>
      </w:r>
    </w:p>
  </w:footnote>
  <w:footnote w:type="continuationSeparator" w:id="0">
    <w:p w14:paraId="3D97CFF7" w14:textId="77777777" w:rsidR="00E65149" w:rsidRDefault="00E65149">
      <w:pPr>
        <w:spacing w:after="0" w:line="240" w:lineRule="auto"/>
      </w:pPr>
      <w:r>
        <w:continuationSeparator/>
      </w:r>
    </w:p>
  </w:footnote>
  <w:footnote w:id="1">
    <w:p w14:paraId="33B9DE16" w14:textId="46F736D7" w:rsidR="003E14A1" w:rsidRDefault="003E14A1">
      <w:pPr>
        <w:pStyle w:val="Textonotapie"/>
      </w:pPr>
      <w:r>
        <w:rPr>
          <w:rStyle w:val="Refdenotaalpie"/>
        </w:rPr>
        <w:footnoteRef/>
      </w:r>
      <w:r>
        <w:t xml:space="preserve"> Grupo </w:t>
      </w:r>
      <w:r w:rsidR="00BB08F2">
        <w:t xml:space="preserve">de Estudio de la Contaminación del Río Uruguay (GECRU) de la Facultad Regional de Concepción del Uruguay de la Universidad Tecnológica Nacional. </w:t>
      </w:r>
    </w:p>
  </w:footnote>
  <w:footnote w:id="2">
    <w:p w14:paraId="116F7A95" w14:textId="236619E9" w:rsidR="00D07D6E" w:rsidRPr="006233D7" w:rsidRDefault="00D07D6E" w:rsidP="006233D7">
      <w:pPr>
        <w:pStyle w:val="Textonotapie"/>
        <w:rPr>
          <w:color w:val="7030A0"/>
        </w:rPr>
      </w:pPr>
      <w:r>
        <w:rPr>
          <w:rStyle w:val="Refdenotaalpie"/>
        </w:rPr>
        <w:footnoteRef/>
      </w:r>
      <w:r>
        <w:t xml:space="preserve"> </w:t>
      </w:r>
      <w:r w:rsidR="004529C0">
        <w:t>Nota</w:t>
      </w:r>
      <w:r w:rsidR="00BB08F2">
        <w:t xml:space="preserve"> de advertencia</w:t>
      </w:r>
      <w:r w:rsidR="004529C0">
        <w:t xml:space="preserve">: el tejido urbano de Pueblo General Belgrano </w:t>
      </w:r>
      <w:r w:rsidR="003E14A1">
        <w:t xml:space="preserve">es cartográficamente continuo a la ciudad de Gualeguaychú y no presentan límite poligonal en la información oficial disponible.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90C54" w14:textId="77777777" w:rsidR="008958F7" w:rsidRDefault="005F0953">
    <w:pPr>
      <w:pBdr>
        <w:top w:val="nil"/>
        <w:left w:val="nil"/>
        <w:bottom w:val="nil"/>
        <w:right w:val="nil"/>
        <w:between w:val="nil"/>
      </w:pBdr>
      <w:tabs>
        <w:tab w:val="center" w:pos="4252"/>
        <w:tab w:val="right" w:pos="8504"/>
      </w:tabs>
      <w:spacing w:after="0" w:line="240" w:lineRule="auto"/>
      <w:rPr>
        <w:color w:val="000000"/>
      </w:rPr>
    </w:pPr>
    <w:r>
      <w:rPr>
        <w:noProof/>
      </w:rPr>
      <w:drawing>
        <wp:anchor distT="0" distB="0" distL="0" distR="0" simplePos="0" relativeHeight="251658240" behindDoc="1" locked="0" layoutInCell="1" hidden="0" allowOverlap="1" wp14:anchorId="20A72AC6" wp14:editId="4820A66D">
          <wp:simplePos x="0" y="0"/>
          <wp:positionH relativeFrom="column">
            <wp:posOffset>-1424939</wp:posOffset>
          </wp:positionH>
          <wp:positionV relativeFrom="paragraph">
            <wp:posOffset>-186054</wp:posOffset>
          </wp:positionV>
          <wp:extent cx="771525" cy="1194435"/>
          <wp:effectExtent l="0" t="0" r="0" b="0"/>
          <wp:wrapNone/>
          <wp:docPr id="2108616898" name="image2.jpg" descr="Logotipo, nombre de la empres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jpg" descr="Logotipo, nombre de la empresa&#10;&#10;Descripción generada automáticamente"/>
                  <pic:cNvPicPr preferRelativeResize="0"/>
                </pic:nvPicPr>
                <pic:blipFill>
                  <a:blip r:embed="rId1"/>
                  <a:srcRect/>
                  <a:stretch>
                    <a:fillRect/>
                  </a:stretch>
                </pic:blipFill>
                <pic:spPr>
                  <a:xfrm>
                    <a:off x="0" y="0"/>
                    <a:ext cx="771525" cy="1194435"/>
                  </a:xfrm>
                  <a:prstGeom prst="rect">
                    <a:avLst/>
                  </a:prstGeom>
                  <a:ln/>
                </pic:spPr>
              </pic:pic>
            </a:graphicData>
          </a:graphic>
        </wp:anchor>
      </w:drawing>
    </w:r>
  </w:p>
  <w:p w14:paraId="70EAB56D" w14:textId="77777777" w:rsidR="008958F7" w:rsidRDefault="008958F7">
    <w:pPr>
      <w:pBdr>
        <w:top w:val="nil"/>
        <w:left w:val="nil"/>
        <w:bottom w:val="nil"/>
        <w:right w:val="nil"/>
        <w:between w:val="nil"/>
      </w:pBdr>
      <w:tabs>
        <w:tab w:val="center" w:pos="4252"/>
        <w:tab w:val="right" w:pos="8504"/>
      </w:tabs>
      <w:spacing w:after="0" w:line="240" w:lineRule="auto"/>
      <w:rPr>
        <w:color w:val="000000"/>
      </w:rPr>
    </w:pPr>
  </w:p>
  <w:p w14:paraId="773EF84D" w14:textId="77777777" w:rsidR="008958F7" w:rsidRDefault="008958F7">
    <w:pPr>
      <w:pBdr>
        <w:top w:val="nil"/>
        <w:left w:val="nil"/>
        <w:bottom w:val="nil"/>
        <w:right w:val="nil"/>
        <w:between w:val="nil"/>
      </w:pBdr>
      <w:tabs>
        <w:tab w:val="center" w:pos="4252"/>
        <w:tab w:val="right" w:pos="8504"/>
      </w:tabs>
      <w:spacing w:after="0" w:line="240" w:lineRule="auto"/>
      <w:rPr>
        <w:color w:val="000000"/>
      </w:rPr>
    </w:pPr>
  </w:p>
  <w:p w14:paraId="45C89CC8" w14:textId="77777777" w:rsidR="008958F7" w:rsidRDefault="008958F7">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411CFF"/>
    <w:multiLevelType w:val="multilevel"/>
    <w:tmpl w:val="29D2DB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3B73611"/>
    <w:multiLevelType w:val="multilevel"/>
    <w:tmpl w:val="CFB622C4"/>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F8371F6"/>
    <w:multiLevelType w:val="multilevel"/>
    <w:tmpl w:val="50286D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33605330">
    <w:abstractNumId w:val="2"/>
  </w:num>
  <w:num w:numId="2" w16cid:durableId="538475294">
    <w:abstractNumId w:val="0"/>
  </w:num>
  <w:num w:numId="3" w16cid:durableId="178318814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58F7"/>
    <w:rsid w:val="00066351"/>
    <w:rsid w:val="000812A2"/>
    <w:rsid w:val="000A2E92"/>
    <w:rsid w:val="0010035A"/>
    <w:rsid w:val="001E14E3"/>
    <w:rsid w:val="001F0821"/>
    <w:rsid w:val="00396485"/>
    <w:rsid w:val="003B5528"/>
    <w:rsid w:val="003E14A1"/>
    <w:rsid w:val="003F7D26"/>
    <w:rsid w:val="004529C0"/>
    <w:rsid w:val="004B1D11"/>
    <w:rsid w:val="004E5EEB"/>
    <w:rsid w:val="004F5A52"/>
    <w:rsid w:val="005411D6"/>
    <w:rsid w:val="00545CB9"/>
    <w:rsid w:val="00592BB3"/>
    <w:rsid w:val="005B5A7E"/>
    <w:rsid w:val="005F0953"/>
    <w:rsid w:val="006111B9"/>
    <w:rsid w:val="006233D7"/>
    <w:rsid w:val="006355B4"/>
    <w:rsid w:val="006E1443"/>
    <w:rsid w:val="0071538D"/>
    <w:rsid w:val="007972A4"/>
    <w:rsid w:val="008958F7"/>
    <w:rsid w:val="008B7EB6"/>
    <w:rsid w:val="00910026"/>
    <w:rsid w:val="00A26761"/>
    <w:rsid w:val="00A53A4D"/>
    <w:rsid w:val="00A914DD"/>
    <w:rsid w:val="00B06F65"/>
    <w:rsid w:val="00B21A7B"/>
    <w:rsid w:val="00B24B3E"/>
    <w:rsid w:val="00BB08F2"/>
    <w:rsid w:val="00D07D6E"/>
    <w:rsid w:val="00D56662"/>
    <w:rsid w:val="00D77299"/>
    <w:rsid w:val="00DB7032"/>
    <w:rsid w:val="00E05109"/>
    <w:rsid w:val="00E25C20"/>
    <w:rsid w:val="00E26874"/>
    <w:rsid w:val="00E45F02"/>
    <w:rsid w:val="00E65149"/>
    <w:rsid w:val="00EC7EE2"/>
    <w:rsid w:val="00F1294D"/>
    <w:rsid w:val="00F315C7"/>
    <w:rsid w:val="00F63D32"/>
    <w:rsid w:val="00F72F18"/>
    <w:rsid w:val="00F93E35"/>
    <w:rsid w:val="00FB404A"/>
    <w:rsid w:val="00FC10A9"/>
    <w:rsid w:val="00FE599D"/>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0AFAFB"/>
  <w15:docId w15:val="{1CC432E7-4D10-46C0-B942-75E320342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AR" w:eastAsia="es-A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NormalWeb">
    <w:name w:val="Normal (Web)"/>
    <w:basedOn w:val="Normal"/>
    <w:link w:val="NormalWebCar"/>
    <w:uiPriority w:val="99"/>
    <w:semiHidden/>
    <w:unhideWhenUsed/>
    <w:rsid w:val="0027204A"/>
    <w:pPr>
      <w:spacing w:before="100" w:beforeAutospacing="1" w:after="100" w:afterAutospacing="1" w:line="240" w:lineRule="auto"/>
    </w:pPr>
    <w:rPr>
      <w:rFonts w:ascii="Times New Roman" w:eastAsia="Times New Roman" w:hAnsi="Times New Roman" w:cs="Times New Roman"/>
      <w:sz w:val="24"/>
      <w:szCs w:val="24"/>
      <w:lang w:val="es-419" w:eastAsia="es-419"/>
    </w:rPr>
  </w:style>
  <w:style w:type="paragraph" w:customStyle="1" w:styleId="ACCTtulo">
    <w:name w:val="ACC Título"/>
    <w:basedOn w:val="NormalWeb"/>
    <w:link w:val="ACCTtuloCar"/>
    <w:qFormat/>
    <w:rsid w:val="0027204A"/>
    <w:pPr>
      <w:shd w:val="clear" w:color="auto" w:fill="FFFFFF"/>
      <w:spacing w:before="0" w:beforeAutospacing="0" w:after="225" w:afterAutospacing="0"/>
      <w:jc w:val="both"/>
    </w:pPr>
    <w:rPr>
      <w:rFonts w:ascii="Open Sans" w:hAnsi="Open Sans" w:cs="Open Sans"/>
      <w:b/>
      <w:color w:val="000000"/>
      <w:sz w:val="22"/>
      <w:szCs w:val="18"/>
    </w:rPr>
  </w:style>
  <w:style w:type="paragraph" w:customStyle="1" w:styleId="AccPrrafo">
    <w:name w:val="Acc Párrafo"/>
    <w:basedOn w:val="NormalWeb"/>
    <w:link w:val="AccPrrafoCar"/>
    <w:qFormat/>
    <w:rsid w:val="0027204A"/>
    <w:pPr>
      <w:shd w:val="clear" w:color="auto" w:fill="FFFFFF"/>
      <w:spacing w:before="0" w:beforeAutospacing="0" w:after="225" w:afterAutospacing="0" w:line="264" w:lineRule="auto"/>
      <w:ind w:firstLine="284"/>
      <w:jc w:val="both"/>
    </w:pPr>
    <w:rPr>
      <w:rFonts w:ascii="Open Sans" w:hAnsi="Open Sans" w:cs="Open Sans"/>
      <w:color w:val="000000"/>
      <w:sz w:val="18"/>
      <w:szCs w:val="18"/>
    </w:rPr>
  </w:style>
  <w:style w:type="character" w:customStyle="1" w:styleId="NormalWebCar">
    <w:name w:val="Normal (Web) Car"/>
    <w:basedOn w:val="Fuentedeprrafopredeter"/>
    <w:link w:val="NormalWeb"/>
    <w:uiPriority w:val="99"/>
    <w:semiHidden/>
    <w:rsid w:val="0027204A"/>
    <w:rPr>
      <w:rFonts w:ascii="Times New Roman" w:eastAsia="Times New Roman" w:hAnsi="Times New Roman" w:cs="Times New Roman"/>
      <w:sz w:val="24"/>
      <w:szCs w:val="24"/>
      <w:lang w:val="es-419" w:eastAsia="es-419"/>
    </w:rPr>
  </w:style>
  <w:style w:type="character" w:customStyle="1" w:styleId="ACCTtuloCar">
    <w:name w:val="ACC Título Car"/>
    <w:basedOn w:val="NormalWebCar"/>
    <w:link w:val="ACCTtulo"/>
    <w:rsid w:val="0027204A"/>
    <w:rPr>
      <w:rFonts w:ascii="Open Sans" w:eastAsia="Times New Roman" w:hAnsi="Open Sans" w:cs="Open Sans"/>
      <w:b/>
      <w:color w:val="000000"/>
      <w:sz w:val="24"/>
      <w:szCs w:val="18"/>
      <w:shd w:val="clear" w:color="auto" w:fill="FFFFFF"/>
      <w:lang w:val="es-419" w:eastAsia="es-419"/>
    </w:rPr>
  </w:style>
  <w:style w:type="paragraph" w:customStyle="1" w:styleId="AccSubttulo">
    <w:name w:val="Acc Subtítulo"/>
    <w:basedOn w:val="ACCTtulo"/>
    <w:link w:val="AccSubttuloCar"/>
    <w:qFormat/>
    <w:rsid w:val="00200A5F"/>
    <w:rPr>
      <w:sz w:val="20"/>
    </w:rPr>
  </w:style>
  <w:style w:type="character" w:customStyle="1" w:styleId="AccPrrafoCar">
    <w:name w:val="Acc Párrafo Car"/>
    <w:basedOn w:val="NormalWebCar"/>
    <w:link w:val="AccPrrafo"/>
    <w:rsid w:val="0027204A"/>
    <w:rPr>
      <w:rFonts w:ascii="Open Sans" w:eastAsia="Times New Roman" w:hAnsi="Open Sans" w:cs="Open Sans"/>
      <w:color w:val="000000"/>
      <w:sz w:val="18"/>
      <w:szCs w:val="18"/>
      <w:shd w:val="clear" w:color="auto" w:fill="FFFFFF"/>
      <w:lang w:val="es-419" w:eastAsia="es-419"/>
    </w:rPr>
  </w:style>
  <w:style w:type="paragraph" w:styleId="Encabezado">
    <w:name w:val="header"/>
    <w:basedOn w:val="Normal"/>
    <w:link w:val="EncabezadoCar"/>
    <w:uiPriority w:val="99"/>
    <w:unhideWhenUsed/>
    <w:rsid w:val="0032168B"/>
    <w:pPr>
      <w:tabs>
        <w:tab w:val="center" w:pos="4252"/>
        <w:tab w:val="right" w:pos="8504"/>
      </w:tabs>
      <w:spacing w:after="0" w:line="240" w:lineRule="auto"/>
    </w:pPr>
  </w:style>
  <w:style w:type="character" w:customStyle="1" w:styleId="AccSubttuloCar">
    <w:name w:val="Acc Subtítulo Car"/>
    <w:basedOn w:val="ACCTtuloCar"/>
    <w:link w:val="AccSubttulo"/>
    <w:rsid w:val="00200A5F"/>
    <w:rPr>
      <w:rFonts w:ascii="Open Sans" w:eastAsia="Times New Roman" w:hAnsi="Open Sans" w:cs="Open Sans"/>
      <w:b/>
      <w:color w:val="000000"/>
      <w:sz w:val="20"/>
      <w:szCs w:val="18"/>
      <w:shd w:val="clear" w:color="auto" w:fill="FFFFFF"/>
      <w:lang w:val="es-419" w:eastAsia="es-419"/>
    </w:rPr>
  </w:style>
  <w:style w:type="character" w:customStyle="1" w:styleId="EncabezadoCar">
    <w:name w:val="Encabezado Car"/>
    <w:basedOn w:val="Fuentedeprrafopredeter"/>
    <w:link w:val="Encabezado"/>
    <w:uiPriority w:val="99"/>
    <w:rsid w:val="0032168B"/>
  </w:style>
  <w:style w:type="paragraph" w:styleId="Piedepgina">
    <w:name w:val="footer"/>
    <w:basedOn w:val="Normal"/>
    <w:link w:val="PiedepginaCar"/>
    <w:uiPriority w:val="99"/>
    <w:unhideWhenUsed/>
    <w:rsid w:val="0032168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2168B"/>
  </w:style>
  <w:style w:type="character" w:styleId="Hipervnculo">
    <w:name w:val="Hyperlink"/>
    <w:basedOn w:val="Fuentedeprrafopredeter"/>
    <w:uiPriority w:val="99"/>
    <w:unhideWhenUsed/>
    <w:rsid w:val="00EE021D"/>
    <w:rPr>
      <w:color w:val="0563C1" w:themeColor="hyperlink"/>
      <w:u w:val="single"/>
    </w:rPr>
  </w:style>
  <w:style w:type="character" w:customStyle="1" w:styleId="Mencinsinresolver1">
    <w:name w:val="Mención sin resolver1"/>
    <w:basedOn w:val="Fuentedeprrafopredeter"/>
    <w:uiPriority w:val="99"/>
    <w:semiHidden/>
    <w:unhideWhenUsed/>
    <w:rsid w:val="00EE021D"/>
    <w:rPr>
      <w:color w:val="605E5C"/>
      <w:shd w:val="clear" w:color="auto" w:fill="E1DFDD"/>
    </w:rPr>
  </w:style>
  <w:style w:type="paragraph" w:styleId="Descripcin">
    <w:name w:val="caption"/>
    <w:basedOn w:val="Normal"/>
    <w:next w:val="Normal"/>
    <w:uiPriority w:val="35"/>
    <w:unhideWhenUsed/>
    <w:qFormat/>
    <w:rsid w:val="00EE021D"/>
    <w:pPr>
      <w:spacing w:after="200" w:line="240" w:lineRule="auto"/>
    </w:pPr>
    <w:rPr>
      <w:i/>
      <w:iCs/>
      <w:color w:val="44546A" w:themeColor="text2"/>
      <w:sz w:val="18"/>
      <w:szCs w:val="18"/>
    </w:rPr>
  </w:style>
  <w:style w:type="paragraph" w:styleId="Prrafodelista">
    <w:name w:val="List Paragraph"/>
    <w:basedOn w:val="Normal"/>
    <w:uiPriority w:val="34"/>
    <w:qFormat/>
    <w:rsid w:val="00EE021D"/>
    <w:pPr>
      <w:spacing w:after="0" w:line="240" w:lineRule="auto"/>
      <w:ind w:left="720"/>
      <w:contextualSpacing/>
    </w:pPr>
    <w:rPr>
      <w:kern w:val="2"/>
    </w:rPr>
  </w:style>
  <w:style w:type="table" w:styleId="Tablaconcuadrcula">
    <w:name w:val="Table Grid"/>
    <w:basedOn w:val="Tablanormal"/>
    <w:uiPriority w:val="39"/>
    <w:rsid w:val="00EE021D"/>
    <w:pPr>
      <w:spacing w:after="0" w:line="240" w:lineRule="auto"/>
    </w:pPr>
    <w:rPr>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EE021D"/>
    <w:rPr>
      <w:color w:val="808080"/>
    </w:rPr>
  </w:style>
  <w:style w:type="table" w:styleId="Tablanormal2">
    <w:name w:val="Plain Table 2"/>
    <w:basedOn w:val="Tablanormal"/>
    <w:uiPriority w:val="42"/>
    <w:rsid w:val="00EE021D"/>
    <w:pPr>
      <w:spacing w:after="0" w:line="240" w:lineRule="auto"/>
    </w:pPr>
    <w:rPr>
      <w:kern w:val="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tulotablaygrficos">
    <w:name w:val="Título tabla y gráficos"/>
    <w:basedOn w:val="Descripcin"/>
    <w:qFormat/>
    <w:rsid w:val="00EE021D"/>
    <w:pPr>
      <w:spacing w:after="0"/>
    </w:pPr>
    <w:rPr>
      <w:rFonts w:ascii="Arial" w:eastAsia="Times New Roman" w:hAnsi="Arial" w:cs="Arial"/>
      <w:b/>
      <w:bCs/>
      <w:i w:val="0"/>
      <w:iCs w:val="0"/>
      <w:color w:val="auto"/>
      <w:kern w:val="2"/>
      <w:lang w:eastAsia="en-US"/>
    </w:rPr>
  </w:style>
  <w:style w:type="table" w:styleId="Tablanormal5">
    <w:name w:val="Plain Table 5"/>
    <w:basedOn w:val="Tablanormal"/>
    <w:uiPriority w:val="45"/>
    <w:rsid w:val="00EE021D"/>
    <w:pPr>
      <w:spacing w:after="0" w:line="240" w:lineRule="auto"/>
    </w:pPr>
    <w:rPr>
      <w:kern w:val="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8"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0">
    <w:basedOn w:val="TableNormal"/>
    <w:pPr>
      <w:spacing w:after="0" w:line="240" w:lineRule="auto"/>
    </w:pPr>
    <w:tblPr>
      <w:tblStyleRowBandSize w:val="1"/>
      <w:tblStyleColBandSize w:val="1"/>
      <w:tblCellMar>
        <w:left w:w="108"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1">
    <w:basedOn w:val="TableNormal"/>
    <w:pPr>
      <w:spacing w:after="0" w:line="240" w:lineRule="auto"/>
    </w:pPr>
    <w:tblPr>
      <w:tblStyleRowBandSize w:val="1"/>
      <w:tblStyleColBandSize w:val="1"/>
      <w:tblCellMar>
        <w:left w:w="108"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2">
    <w:basedOn w:val="TableNormal"/>
    <w:pPr>
      <w:spacing w:after="0" w:line="240" w:lineRule="auto"/>
    </w:pPr>
    <w:tblPr>
      <w:tblStyleRowBandSize w:val="1"/>
      <w:tblStyleColBandSize w:val="1"/>
      <w:tblCellMar>
        <w:left w:w="108"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Textonotapie">
    <w:name w:val="footnote text"/>
    <w:basedOn w:val="Normal"/>
    <w:link w:val="TextonotapieCar"/>
    <w:uiPriority w:val="99"/>
    <w:semiHidden/>
    <w:unhideWhenUsed/>
    <w:rsid w:val="00D07D6E"/>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D07D6E"/>
    <w:rPr>
      <w:sz w:val="20"/>
      <w:szCs w:val="20"/>
    </w:rPr>
  </w:style>
  <w:style w:type="character" w:styleId="Refdenotaalpie">
    <w:name w:val="footnote reference"/>
    <w:basedOn w:val="Fuentedeprrafopredeter"/>
    <w:uiPriority w:val="99"/>
    <w:semiHidden/>
    <w:unhideWhenUsed/>
    <w:rsid w:val="00D07D6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0838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gn.gob.ar/NuestrasActividades/InformacionGeoespacial/CapasSIG" TargetMode="External"/><Relationship Id="rId18" Type="http://schemas.openxmlformats.org/officeDocument/2006/relationships/image" Target="media/image7.jpg"/><Relationship Id="rId26" Type="http://schemas.openxmlformats.org/officeDocument/2006/relationships/image" Target="media/image15.jpg"/><Relationship Id="rId3" Type="http://schemas.openxmlformats.org/officeDocument/2006/relationships/numbering" Target="numbering.xml"/><Relationship Id="rId21" Type="http://schemas.openxmlformats.org/officeDocument/2006/relationships/image" Target="media/image10.jpg"/><Relationship Id="rId7" Type="http://schemas.openxmlformats.org/officeDocument/2006/relationships/footnotes" Target="footnotes.xml"/><Relationship Id="rId12" Type="http://schemas.openxmlformats.org/officeDocument/2006/relationships/hyperlink" Target="https://www.desinventar.net/DesInventar/profiletab.jsp" TargetMode="External"/><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customXml" Target="../customXml/item5.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3.jpeg"/><Relationship Id="rId32" Type="http://schemas.openxmlformats.org/officeDocument/2006/relationships/customXml" Target="../customXml/item4.xml"/><Relationship Id="rId5" Type="http://schemas.openxmlformats.org/officeDocument/2006/relationships/settings" Target="setting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footer" Target="footer1.xml"/><Relationship Id="rId10" Type="http://schemas.openxmlformats.org/officeDocument/2006/relationships/image" Target="media/image2.jpg"/><Relationship Id="rId19" Type="http://schemas.openxmlformats.org/officeDocument/2006/relationships/image" Target="media/image8.jpg"/><Relationship Id="rId31" Type="http://schemas.openxmlformats.org/officeDocument/2006/relationships/customXml" Target="../customXml/item3.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header" Target="header1.xml"/><Relationship Id="rId30" Type="http://schemas.openxmlformats.org/officeDocument/2006/relationships/theme" Target="theme/theme1.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image" Target="media/image17.jpg"/></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charts/_rels/chart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Hoja1!$B$1</c:f>
              <c:strCache>
                <c:ptCount val="1"/>
                <c:pt idx="0">
                  <c:v>Tellman (ha)</c:v>
                </c:pt>
              </c:strCache>
            </c:strRef>
          </c:tx>
          <c:spPr>
            <a:solidFill>
              <a:schemeClr val="accent6"/>
            </a:solidFill>
            <a:ln>
              <a:noFill/>
            </a:ln>
            <a:effectLst/>
          </c:spPr>
          <c:invertIfNegative val="0"/>
          <c:cat>
            <c:strRef>
              <c:f>Hoja1!$A$2:$A$6</c:f>
              <c:strCache>
                <c:ptCount val="5"/>
                <c:pt idx="0">
                  <c:v>Colón</c:v>
                </c:pt>
                <c:pt idx="1">
                  <c:v>Concordia</c:v>
                </c:pt>
                <c:pt idx="2">
                  <c:v>Uruguay</c:v>
                </c:pt>
                <c:pt idx="3">
                  <c:v>Gualeguaychú</c:v>
                </c:pt>
                <c:pt idx="4">
                  <c:v>Total</c:v>
                </c:pt>
              </c:strCache>
            </c:strRef>
          </c:cat>
          <c:val>
            <c:numRef>
              <c:f>Hoja1!$B$2:$B$6</c:f>
              <c:numCache>
                <c:formatCode>General</c:formatCode>
                <c:ptCount val="5"/>
                <c:pt idx="0">
                  <c:v>4283.6000000000004</c:v>
                </c:pt>
                <c:pt idx="1">
                  <c:v>4166</c:v>
                </c:pt>
                <c:pt idx="2">
                  <c:v>10610.1</c:v>
                </c:pt>
                <c:pt idx="3">
                  <c:v>0</c:v>
                </c:pt>
                <c:pt idx="4">
                  <c:v>19059.7</c:v>
                </c:pt>
              </c:numCache>
            </c:numRef>
          </c:val>
          <c:extLst>
            <c:ext xmlns:c16="http://schemas.microsoft.com/office/drawing/2014/chart" uri="{C3380CC4-5D6E-409C-BE32-E72D297353CC}">
              <c16:uniqueId val="{00000000-264B-4B4D-B21D-C93779473FB1}"/>
            </c:ext>
          </c:extLst>
        </c:ser>
        <c:ser>
          <c:idx val="1"/>
          <c:order val="1"/>
          <c:tx>
            <c:strRef>
              <c:f>Hoja1!$C$1</c:f>
              <c:strCache>
                <c:ptCount val="1"/>
                <c:pt idx="0">
                  <c:v>Pekel (ha)*</c:v>
                </c:pt>
              </c:strCache>
            </c:strRef>
          </c:tx>
          <c:spPr>
            <a:solidFill>
              <a:schemeClr val="accent5"/>
            </a:solidFill>
            <a:ln>
              <a:noFill/>
            </a:ln>
            <a:effectLst/>
          </c:spPr>
          <c:invertIfNegative val="0"/>
          <c:cat>
            <c:strRef>
              <c:f>Hoja1!$A$2:$A$6</c:f>
              <c:strCache>
                <c:ptCount val="5"/>
                <c:pt idx="0">
                  <c:v>Colón</c:v>
                </c:pt>
                <c:pt idx="1">
                  <c:v>Concordia</c:v>
                </c:pt>
                <c:pt idx="2">
                  <c:v>Uruguay</c:v>
                </c:pt>
                <c:pt idx="3">
                  <c:v>Gualeguaychú</c:v>
                </c:pt>
                <c:pt idx="4">
                  <c:v>Total</c:v>
                </c:pt>
              </c:strCache>
            </c:strRef>
          </c:cat>
          <c:val>
            <c:numRef>
              <c:f>Hoja1!$C$2:$C$6</c:f>
              <c:numCache>
                <c:formatCode>General</c:formatCode>
                <c:ptCount val="5"/>
                <c:pt idx="0">
                  <c:v>3243.2</c:v>
                </c:pt>
                <c:pt idx="1">
                  <c:v>5533.8</c:v>
                </c:pt>
                <c:pt idx="2">
                  <c:v>18511.5</c:v>
                </c:pt>
                <c:pt idx="3">
                  <c:v>18955.2</c:v>
                </c:pt>
                <c:pt idx="4">
                  <c:v>46243.7</c:v>
                </c:pt>
              </c:numCache>
            </c:numRef>
          </c:val>
          <c:extLst>
            <c:ext xmlns:c16="http://schemas.microsoft.com/office/drawing/2014/chart" uri="{C3380CC4-5D6E-409C-BE32-E72D297353CC}">
              <c16:uniqueId val="{00000001-264B-4B4D-B21D-C93779473FB1}"/>
            </c:ext>
          </c:extLst>
        </c:ser>
        <c:ser>
          <c:idx val="2"/>
          <c:order val="2"/>
          <c:tx>
            <c:strRef>
              <c:f>Hoja1!$D$1</c:f>
              <c:strCache>
                <c:ptCount val="1"/>
                <c:pt idx="0">
                  <c:v>API (ha)</c:v>
                </c:pt>
              </c:strCache>
            </c:strRef>
          </c:tx>
          <c:spPr>
            <a:solidFill>
              <a:schemeClr val="accent4"/>
            </a:solidFill>
            <a:ln>
              <a:noFill/>
            </a:ln>
            <a:effectLst/>
          </c:spPr>
          <c:invertIfNegative val="0"/>
          <c:cat>
            <c:strRef>
              <c:f>Hoja1!$A$2:$A$6</c:f>
              <c:strCache>
                <c:ptCount val="5"/>
                <c:pt idx="0">
                  <c:v>Colón</c:v>
                </c:pt>
                <c:pt idx="1">
                  <c:v>Concordia</c:v>
                </c:pt>
                <c:pt idx="2">
                  <c:v>Uruguay</c:v>
                </c:pt>
                <c:pt idx="3">
                  <c:v>Gualeguaychú</c:v>
                </c:pt>
                <c:pt idx="4">
                  <c:v>Total</c:v>
                </c:pt>
              </c:strCache>
            </c:strRef>
          </c:cat>
          <c:val>
            <c:numRef>
              <c:f>Hoja1!$D$2:$D$6</c:f>
              <c:numCache>
                <c:formatCode>General</c:formatCode>
                <c:ptCount val="5"/>
                <c:pt idx="0">
                  <c:v>5142</c:v>
                </c:pt>
                <c:pt idx="1">
                  <c:v>4781</c:v>
                </c:pt>
                <c:pt idx="2">
                  <c:v>14885</c:v>
                </c:pt>
                <c:pt idx="3">
                  <c:v>2964</c:v>
                </c:pt>
                <c:pt idx="4">
                  <c:v>27772</c:v>
                </c:pt>
              </c:numCache>
            </c:numRef>
          </c:val>
          <c:extLst>
            <c:ext xmlns:c16="http://schemas.microsoft.com/office/drawing/2014/chart" uri="{C3380CC4-5D6E-409C-BE32-E72D297353CC}">
              <c16:uniqueId val="{00000002-264B-4B4D-B21D-C93779473FB1}"/>
            </c:ext>
          </c:extLst>
        </c:ser>
        <c:dLbls>
          <c:showLegendKey val="0"/>
          <c:showVal val="0"/>
          <c:showCatName val="0"/>
          <c:showSerName val="0"/>
          <c:showPercent val="0"/>
          <c:showBubbleSize val="0"/>
        </c:dLbls>
        <c:gapWidth val="219"/>
        <c:overlap val="-27"/>
        <c:axId val="639621120"/>
        <c:axId val="577913104"/>
      </c:barChart>
      <c:catAx>
        <c:axId val="6396211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AR"/>
                  <a:t>Departamento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UY"/>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UY"/>
          </a:p>
        </c:txPr>
        <c:crossAx val="577913104"/>
        <c:crosses val="autoZero"/>
        <c:auto val="1"/>
        <c:lblAlgn val="ctr"/>
        <c:lblOffset val="100"/>
        <c:noMultiLvlLbl val="0"/>
      </c:catAx>
      <c:valAx>
        <c:axId val="577913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AR"/>
                  <a:t>Hectáreas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UY"/>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UY"/>
          </a:p>
        </c:txPr>
        <c:crossAx val="639621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UY"/>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UY"/>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deUGUsrs4TLcYFKBpgE6MklsEw==">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gAciExTERxQUt3SDJXLTdLbzZJM1kxVW5kNHR6eFVCTklmckU=</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o" ma:contentTypeID="0x0101007807A66EF9B160418563E1EFCA9E3221" ma:contentTypeVersion="19" ma:contentTypeDescription="Crear nuevo documento." ma:contentTypeScope="" ma:versionID="1fdf24d892add7199ad3741b301dadff">
  <xsd:schema xmlns:xsd="http://www.w3.org/2001/XMLSchema" xmlns:xs="http://www.w3.org/2001/XMLSchema" xmlns:p="http://schemas.microsoft.com/office/2006/metadata/properties" xmlns:ns2="e06fb445-6519-4398-9468-3247fa029e9e" xmlns:ns3="5484cf2b-0119-459d-8bc2-015ce0b37c18" targetNamespace="http://schemas.microsoft.com/office/2006/metadata/properties" ma:root="true" ma:fieldsID="c7ad4cae51fb79b271b6dae24de0f0c1" ns2:_="" ns3:_="">
    <xsd:import namespace="e06fb445-6519-4398-9468-3247fa029e9e"/>
    <xsd:import namespace="5484cf2b-0119-459d-8bc2-015ce0b37c18"/>
    <xsd:element name="properties">
      <xsd:complexType>
        <xsd:sequence>
          <xsd:element name="documentManagement">
            <xsd:complexType>
              <xsd:all>
                <xsd:element ref="ns2:MediaServiceMetadata" minOccurs="0"/>
                <xsd:element ref="ns2:MediaServiceFastMetadata" minOccurs="0"/>
                <xsd:element ref="ns3:SharedWithDetails" minOccurs="0"/>
                <xsd:element ref="ns3:SharedWithUser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06fb445-6519-4398-9468-3247fa029e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f8ebb0a5-c57d-4c3a-bec7-8a38252dd05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84cf2b-0119-459d-8bc2-015ce0b37c18" elementFormDefault="qualified">
    <xsd:import namespace="http://schemas.microsoft.com/office/2006/documentManagement/types"/>
    <xsd:import namespace="http://schemas.microsoft.com/office/infopath/2007/PartnerControls"/>
    <xsd:element name="SharedWithDetails" ma:index="10" nillable="true" ma:displayName="Detalles de uso compartido" ma:internalName="SharedWithDetails" ma:readOnly="true">
      <xsd:simpleType>
        <xsd:restriction base="dms:Note">
          <xsd:maxLength value="255"/>
        </xsd:restriction>
      </xsd:simpleType>
    </xsd:element>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3" nillable="true" ma:displayName="Taxonomy Catch All Column" ma:hidden="true" ma:list="{239d86cd-73f4-41f4-bed2-0129512dab05}" ma:internalName="TaxCatchAll" ma:showField="CatchAllData" ma:web="5484cf2b-0119-459d-8bc2-015ce0b37c1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5484cf2b-0119-459d-8bc2-015ce0b37c18" xsi:nil="true"/>
    <lcf76f155ced4ddcb4097134ff3c332f xmlns="e06fb445-6519-4398-9468-3247fa029e9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F36A0EC-3A62-45E0-AD4A-BDA6E0004E47}">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EDAB26E5-F838-478E-B2A3-ECAE5BB76CBC}"/>
</file>

<file path=customXml/itemProps4.xml><?xml version="1.0" encoding="utf-8"?>
<ds:datastoreItem xmlns:ds="http://schemas.openxmlformats.org/officeDocument/2006/customXml" ds:itemID="{2C824A15-E8B1-4EE9-AD8D-8E387AD7FB74}"/>
</file>

<file path=customXml/itemProps5.xml><?xml version="1.0" encoding="utf-8"?>
<ds:datastoreItem xmlns:ds="http://schemas.openxmlformats.org/officeDocument/2006/customXml" ds:itemID="{3CD963BE-6396-4B58-995D-67D72239E7D7}"/>
</file>

<file path=docProps/app.xml><?xml version="1.0" encoding="utf-8"?>
<Properties xmlns="http://schemas.openxmlformats.org/officeDocument/2006/extended-properties" xmlns:vt="http://schemas.openxmlformats.org/officeDocument/2006/docPropsVTypes">
  <Template>Normal</Template>
  <TotalTime>1</TotalTime>
  <Pages>26</Pages>
  <Words>4351</Words>
  <Characters>23936</Characters>
  <Application>Microsoft Office Word</Application>
  <DocSecurity>0</DocSecurity>
  <Lines>199</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Max Peraita</dc:creator>
  <cp:lastModifiedBy>Myrna Campoleoni</cp:lastModifiedBy>
  <cp:revision>2</cp:revision>
  <cp:lastPrinted>2023-09-10T23:39:00Z</cp:lastPrinted>
  <dcterms:created xsi:type="dcterms:W3CDTF">2023-09-13T15:56:00Z</dcterms:created>
  <dcterms:modified xsi:type="dcterms:W3CDTF">2023-09-13T15:56:00Z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0x0101007807A66EF9B160418563E1EFCA9E3221</vt:lpwstr>
  </property>
  <property fmtid="{D5CDD505-2E9C-101B-9397-08002B2CF9AE}" pid="3" name="MediaServiceImageTags">
    <vt:lpwstr/>
  </property>
</Properties>
</file>